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DF6B" w14:textId="6DF07F83" w:rsidR="00015376" w:rsidRPr="00CD729C" w:rsidRDefault="00015376" w:rsidP="007075EB">
      <w:pPr>
        <w:pStyle w:val="Subtitle"/>
        <w:rPr>
          <w:rStyle w:val="TitleChar"/>
          <w:b/>
        </w:rPr>
      </w:pPr>
      <w:bookmarkStart w:id="0" w:name="_GoBack"/>
      <w:bookmarkEnd w:id="0"/>
      <w:r w:rsidRPr="00CD729C">
        <w:rPr>
          <w:rStyle w:val="TitleChar"/>
          <w:b/>
        </w:rPr>
        <w:t xml:space="preserve">Review of </w:t>
      </w:r>
      <w:r w:rsidR="00DB35CC">
        <w:rPr>
          <w:rStyle w:val="TitleChar"/>
          <w:b/>
        </w:rPr>
        <w:t>Management Controls</w:t>
      </w:r>
      <w:r w:rsidRPr="00CD729C">
        <w:rPr>
          <w:rStyle w:val="TitleChar"/>
          <w:b/>
        </w:rPr>
        <w:t xml:space="preserve"> for the </w:t>
      </w:r>
      <w:r w:rsidR="00DB35CC">
        <w:rPr>
          <w:rStyle w:val="TitleChar"/>
          <w:b/>
        </w:rPr>
        <w:t>S</w:t>
      </w:r>
      <w:r w:rsidRPr="00CD729C">
        <w:rPr>
          <w:rStyle w:val="TitleChar"/>
          <w:b/>
        </w:rPr>
        <w:t xml:space="preserve">outhern </w:t>
      </w:r>
      <w:r w:rsidR="00DB35CC">
        <w:rPr>
          <w:rStyle w:val="TitleChar"/>
          <w:b/>
        </w:rPr>
        <w:t>J</w:t>
      </w:r>
      <w:r w:rsidRPr="00CD729C">
        <w:rPr>
          <w:rStyle w:val="TitleChar"/>
          <w:b/>
        </w:rPr>
        <w:t xml:space="preserve">ack </w:t>
      </w:r>
      <w:r w:rsidR="00DB35CC">
        <w:rPr>
          <w:rStyle w:val="TitleChar"/>
          <w:b/>
        </w:rPr>
        <w:t>M</w:t>
      </w:r>
      <w:r w:rsidRPr="00CD729C">
        <w:rPr>
          <w:rStyle w:val="TitleChar"/>
          <w:b/>
        </w:rPr>
        <w:t xml:space="preserve">ackerel </w:t>
      </w:r>
      <w:r w:rsidR="00DB35CC">
        <w:rPr>
          <w:rStyle w:val="TitleChar"/>
          <w:b/>
        </w:rPr>
        <w:t>F</w:t>
      </w:r>
      <w:r w:rsidRPr="00CD729C">
        <w:rPr>
          <w:rStyle w:val="TitleChar"/>
          <w:b/>
        </w:rPr>
        <w:t>ishery (JMA</w:t>
      </w:r>
      <w:r w:rsidR="001D20CB">
        <w:rPr>
          <w:rStyle w:val="TitleChar"/>
          <w:b/>
        </w:rPr>
        <w:t xml:space="preserve"> </w:t>
      </w:r>
      <w:r w:rsidRPr="00CD729C">
        <w:rPr>
          <w:rStyle w:val="TitleChar"/>
          <w:b/>
        </w:rPr>
        <w:t>3)</w:t>
      </w:r>
      <w:r w:rsidR="00D95E68">
        <w:rPr>
          <w:rStyle w:val="TitleChar"/>
          <w:b/>
        </w:rPr>
        <w:t xml:space="preserve"> in 2016</w:t>
      </w:r>
    </w:p>
    <w:p w14:paraId="7C9AE8DB" w14:textId="77777777" w:rsidR="007075EB" w:rsidRDefault="007075EB" w:rsidP="007075EB">
      <w:pPr>
        <w:pStyle w:val="Subtitle"/>
        <w:rPr>
          <w:b w:val="0"/>
        </w:rPr>
      </w:pPr>
      <w:r>
        <w:rPr>
          <w:b w:val="0"/>
        </w:rPr>
        <w:t xml:space="preserve"> </w:t>
      </w:r>
    </w:p>
    <w:p w14:paraId="0F61A62F" w14:textId="77777777" w:rsidR="007075EB" w:rsidRDefault="007075EB" w:rsidP="007075EB">
      <w:pPr>
        <w:pStyle w:val="ReturnAddress"/>
        <w:jc w:val="left"/>
        <w:rPr>
          <w:rFonts w:ascii="Arial Narrow" w:hAnsi="Arial Narrow"/>
          <w:color w:val="808080"/>
          <w:sz w:val="24"/>
        </w:rPr>
      </w:pPr>
    </w:p>
    <w:p w14:paraId="303110AC" w14:textId="40595C63" w:rsidR="007075EB" w:rsidRDefault="006C57DB" w:rsidP="007075EB">
      <w:pPr>
        <w:pStyle w:val="ISBN"/>
        <w:rPr>
          <w:lang w:val="en-AU"/>
        </w:rPr>
      </w:pPr>
      <w:r>
        <w:t xml:space="preserve">MPI </w:t>
      </w:r>
      <w:r w:rsidR="006D0580">
        <w:t>Discussion</w:t>
      </w:r>
      <w:r w:rsidR="007075EB">
        <w:t xml:space="preserve"> Paper</w:t>
      </w:r>
      <w:r w:rsidR="007869B3">
        <w:t xml:space="preserve"> </w:t>
      </w:r>
      <w:r w:rsidR="007075EB">
        <w:t xml:space="preserve">No: </w:t>
      </w:r>
      <w:r w:rsidR="007075EB">
        <w:rPr>
          <w:lang w:val="en-AU"/>
        </w:rPr>
        <w:t>20</w:t>
      </w:r>
      <w:r w:rsidR="007B752C">
        <w:rPr>
          <w:lang w:val="en-AU"/>
        </w:rPr>
        <w:t>1</w:t>
      </w:r>
      <w:r w:rsidR="0020484E">
        <w:rPr>
          <w:lang w:val="en-AU"/>
        </w:rPr>
        <w:t>6</w:t>
      </w:r>
      <w:r w:rsidR="00E05688">
        <w:rPr>
          <w:lang w:val="en-AU"/>
        </w:rPr>
        <w:t>/09</w:t>
      </w:r>
    </w:p>
    <w:p w14:paraId="655967C8" w14:textId="77777777" w:rsidR="007075EB" w:rsidRDefault="007075EB" w:rsidP="007075EB">
      <w:pPr>
        <w:pStyle w:val="ISBN"/>
      </w:pPr>
    </w:p>
    <w:p w14:paraId="31EF4092" w14:textId="77777777" w:rsidR="007075EB" w:rsidRDefault="007075EB" w:rsidP="007075EB">
      <w:pPr>
        <w:pStyle w:val="ISBN"/>
      </w:pPr>
    </w:p>
    <w:p w14:paraId="428CDD82" w14:textId="77777777" w:rsidR="007075EB" w:rsidRDefault="007075EB" w:rsidP="007075EB">
      <w:pPr>
        <w:pStyle w:val="ISBN"/>
      </w:pPr>
    </w:p>
    <w:p w14:paraId="311A8E1B" w14:textId="77777777" w:rsidR="007075EB" w:rsidRDefault="007075EB" w:rsidP="007075EB">
      <w:pPr>
        <w:pStyle w:val="ISBN"/>
      </w:pPr>
    </w:p>
    <w:p w14:paraId="0B45E037" w14:textId="77777777" w:rsidR="00B22359" w:rsidRDefault="00B22359" w:rsidP="00B22359">
      <w:pPr>
        <w:pStyle w:val="ISBN"/>
      </w:pPr>
      <w:r>
        <w:t xml:space="preserve">Prepared for consultation by the Ministry for Primary Industries </w:t>
      </w:r>
    </w:p>
    <w:p w14:paraId="62CA7F64" w14:textId="77777777" w:rsidR="007075EB" w:rsidRDefault="007075EB" w:rsidP="007075EB">
      <w:pPr>
        <w:pStyle w:val="ISBN"/>
      </w:pPr>
    </w:p>
    <w:p w14:paraId="63A0F100" w14:textId="77777777" w:rsidR="00B22359" w:rsidRDefault="00B22359" w:rsidP="007075EB">
      <w:pPr>
        <w:pStyle w:val="ISBN"/>
      </w:pPr>
    </w:p>
    <w:p w14:paraId="0D861A83" w14:textId="22F45A6E" w:rsidR="007075EB" w:rsidRDefault="007075EB" w:rsidP="007075EB">
      <w:pPr>
        <w:pStyle w:val="ISBN"/>
        <w:rPr>
          <w:spacing w:val="-3"/>
          <w:lang w:val="en-AU"/>
        </w:rPr>
      </w:pPr>
      <w:r>
        <w:t xml:space="preserve">ISBN No: </w:t>
      </w:r>
      <w:r w:rsidR="00E05688" w:rsidRPr="00E05688">
        <w:t>978-1-77665-265-5 (online)</w:t>
      </w:r>
    </w:p>
    <w:p w14:paraId="6CB3DEBE" w14:textId="77FD00F8" w:rsidR="007075EB" w:rsidRDefault="007075EB" w:rsidP="007075EB">
      <w:pPr>
        <w:pStyle w:val="ISBN"/>
      </w:pPr>
      <w:r>
        <w:t xml:space="preserve">ISSN No: </w:t>
      </w:r>
      <w:r w:rsidR="00E05688" w:rsidRPr="00E05688">
        <w:t>2253-3907 (online)</w:t>
      </w:r>
    </w:p>
    <w:p w14:paraId="4B74FFFB" w14:textId="77777777" w:rsidR="007075EB" w:rsidRDefault="007075EB" w:rsidP="007075EB">
      <w:pPr>
        <w:pStyle w:val="ReturnAddress"/>
        <w:jc w:val="left"/>
        <w:outlineLvl w:val="0"/>
        <w:rPr>
          <w:rFonts w:ascii="Arial Narrow" w:hAnsi="Arial Narrow"/>
          <w:sz w:val="24"/>
        </w:rPr>
      </w:pPr>
    </w:p>
    <w:p w14:paraId="628D1BD2" w14:textId="77777777" w:rsidR="007075EB" w:rsidRDefault="007075EB" w:rsidP="007075EB">
      <w:pPr>
        <w:pStyle w:val="ReturnAddress"/>
        <w:jc w:val="left"/>
        <w:rPr>
          <w:rFonts w:ascii="Arial Narrow" w:hAnsi="Arial Narrow"/>
          <w:sz w:val="24"/>
        </w:rPr>
      </w:pPr>
    </w:p>
    <w:p w14:paraId="5A7126BF" w14:textId="77777777" w:rsidR="007075EB" w:rsidRDefault="007075EB" w:rsidP="007075EB">
      <w:pPr>
        <w:pStyle w:val="ReturnAddress"/>
        <w:jc w:val="left"/>
        <w:rPr>
          <w:rFonts w:ascii="Arial Narrow" w:hAnsi="Arial Narrow"/>
          <w:sz w:val="24"/>
        </w:rPr>
      </w:pPr>
    </w:p>
    <w:p w14:paraId="41E856F6" w14:textId="77777777" w:rsidR="007075EB" w:rsidRDefault="007075EB" w:rsidP="007075EB">
      <w:pPr>
        <w:pStyle w:val="ReturnAddress"/>
        <w:jc w:val="left"/>
        <w:outlineLvl w:val="0"/>
        <w:rPr>
          <w:rFonts w:ascii="Arial Narrow" w:hAnsi="Arial Narrow"/>
          <w:sz w:val="24"/>
        </w:rPr>
      </w:pPr>
    </w:p>
    <w:p w14:paraId="095CF296" w14:textId="3968FB57" w:rsidR="00786686" w:rsidRPr="00471C3D" w:rsidRDefault="007B27A1" w:rsidP="00471C3D">
      <w:pPr>
        <w:pStyle w:val="Date-frontpage"/>
        <w:sectPr w:rsidR="00786686" w:rsidRPr="00471C3D" w:rsidSect="00B72DD3">
          <w:headerReference w:type="default" r:id="rId11"/>
          <w:footerReference w:type="default" r:id="rId12"/>
          <w:pgSz w:w="11906" w:h="16838" w:code="9"/>
          <w:pgMar w:top="7371" w:right="907" w:bottom="567" w:left="4876" w:header="720" w:footer="720" w:gutter="0"/>
          <w:cols w:space="720"/>
        </w:sectPr>
      </w:pPr>
      <w:r>
        <w:t>June</w:t>
      </w:r>
      <w:r w:rsidR="007075EB">
        <w:t xml:space="preserve"> 20</w:t>
      </w:r>
      <w:r w:rsidR="007B752C">
        <w:t>1</w:t>
      </w:r>
      <w:r w:rsidR="0020484E">
        <w:t>6</w:t>
      </w:r>
    </w:p>
    <w:p w14:paraId="625E9AF6" w14:textId="77777777" w:rsidR="005D6337" w:rsidRDefault="005D6337" w:rsidP="005D6337">
      <w:pPr>
        <w:pStyle w:val="Disclaimer"/>
      </w:pPr>
      <w:r>
        <w:lastRenderedPageBreak/>
        <w:t>Disclaimer</w:t>
      </w:r>
    </w:p>
    <w:p w14:paraId="626BC59A" w14:textId="77777777" w:rsidR="005D6337" w:rsidRPr="001C02C0" w:rsidRDefault="005D6337" w:rsidP="005D6337">
      <w:r w:rsidRPr="001C02C0">
        <w:t>The information in this publication is not government policy. While every effort has been made to ensure the information is accurate, the Ministry for Primary Industries does not accept any responsibility or liability for error of fact, omission, interpretation or opinion that may be present, nor for the consequences of any decisions based on this information. Any view or opinion expressed does not necessarily represent the view of the Ministry for Primary Industries.</w:t>
      </w:r>
    </w:p>
    <w:p w14:paraId="5B8896E9" w14:textId="77777777" w:rsidR="005D6337" w:rsidRPr="001C02C0" w:rsidRDefault="005D6337" w:rsidP="005D6337">
      <w:pPr>
        <w:spacing w:afterLines="120" w:after="288" w:line="320" w:lineRule="exact"/>
      </w:pPr>
      <w:r w:rsidRPr="001C02C0">
        <w:t>Requests for further copies should be directed to:</w:t>
      </w:r>
    </w:p>
    <w:p w14:paraId="22124D0D" w14:textId="77777777" w:rsidR="005D6337" w:rsidRPr="001C02C0" w:rsidRDefault="005D6337" w:rsidP="005D6337">
      <w:pPr>
        <w:spacing w:afterLines="120" w:after="288" w:line="320" w:lineRule="exact"/>
      </w:pPr>
      <w:r w:rsidRPr="001C02C0">
        <w:t>Publications Logistics Officer</w:t>
      </w:r>
      <w:r>
        <w:br/>
      </w:r>
      <w:r w:rsidRPr="001C02C0">
        <w:t>Ministry for Primary Industries</w:t>
      </w:r>
      <w:r>
        <w:br/>
      </w:r>
      <w:r w:rsidRPr="001C02C0">
        <w:t>PO Box 2526</w:t>
      </w:r>
      <w:r>
        <w:br/>
      </w:r>
      <w:r w:rsidRPr="001C02C0">
        <w:t>WELLINGTON 6140</w:t>
      </w:r>
    </w:p>
    <w:p w14:paraId="3322AE7C" w14:textId="77777777" w:rsidR="005D6337" w:rsidRPr="001C02C0" w:rsidRDefault="005D6337" w:rsidP="005D6337">
      <w:pPr>
        <w:spacing w:afterLines="120" w:after="288" w:line="320" w:lineRule="exact"/>
      </w:pPr>
      <w:r w:rsidRPr="001C02C0">
        <w:t xml:space="preserve">Email: </w:t>
      </w:r>
      <w:hyperlink r:id="rId13" w:history="1">
        <w:r w:rsidRPr="001C02C0">
          <w:rPr>
            <w:rStyle w:val="Hyperlink"/>
          </w:rPr>
          <w:t>brand@mpi.govt.nz</w:t>
        </w:r>
      </w:hyperlink>
      <w:r>
        <w:br/>
      </w:r>
      <w:r w:rsidRPr="001C02C0">
        <w:t>Telephone: 0800 00 83 33</w:t>
      </w:r>
      <w:r>
        <w:br/>
      </w:r>
      <w:r w:rsidRPr="001C02C0">
        <w:t>Facsimile: 04-894 0300</w:t>
      </w:r>
    </w:p>
    <w:p w14:paraId="548C9ED1" w14:textId="77777777" w:rsidR="005D6337" w:rsidRPr="001C02C0" w:rsidRDefault="005D6337" w:rsidP="005D6337">
      <w:pPr>
        <w:spacing w:afterLines="120" w:after="288" w:line="320" w:lineRule="exact"/>
        <w:rPr>
          <w:rStyle w:val="Hyperlink"/>
        </w:rPr>
      </w:pPr>
      <w:r w:rsidRPr="001C02C0">
        <w:t xml:space="preserve">This publication is also available on the Ministry for Primary Industries website at </w:t>
      </w:r>
      <w:r>
        <w:br/>
      </w:r>
      <w:hyperlink r:id="rId14" w:history="1">
        <w:r w:rsidRPr="001C02C0">
          <w:rPr>
            <w:rStyle w:val="Hyperlink"/>
          </w:rPr>
          <w:t>http://www.mpi.govt.nz/news-resources/publications.aspx</w:t>
        </w:r>
      </w:hyperlink>
    </w:p>
    <w:p w14:paraId="31B5949D" w14:textId="77777777" w:rsidR="005D6337" w:rsidRPr="00DF306F" w:rsidRDefault="005D6337" w:rsidP="005D6337">
      <w:pPr>
        <w:spacing w:afterLines="120" w:after="288" w:line="320" w:lineRule="exact"/>
        <w:rPr>
          <w:sz w:val="22"/>
          <w:szCs w:val="22"/>
        </w:rPr>
        <w:sectPr w:rsidR="005D6337" w:rsidRPr="00DF306F">
          <w:headerReference w:type="default" r:id="rId15"/>
          <w:footerReference w:type="even" r:id="rId16"/>
          <w:footerReference w:type="default" r:id="rId17"/>
          <w:footerReference w:type="first" r:id="rId18"/>
          <w:type w:val="oddPage"/>
          <w:pgSz w:w="11907" w:h="16840" w:code="9"/>
          <w:pgMar w:top="1134" w:right="1418" w:bottom="1134" w:left="1418" w:header="720" w:footer="720" w:gutter="0"/>
          <w:pgNumType w:fmt="lowerRoman" w:start="1"/>
          <w:cols w:space="720" w:equalWidth="0">
            <w:col w:w="9049"/>
          </w:cols>
        </w:sectPr>
      </w:pPr>
      <w:r w:rsidRPr="00DF306F">
        <w:rPr>
          <w:b/>
          <w:sz w:val="22"/>
          <w:szCs w:val="22"/>
        </w:rPr>
        <w:t>© Crown Copyright - Ministry for Primary Industries</w:t>
      </w:r>
      <w:r w:rsidRPr="00DF306F">
        <w:rPr>
          <w:sz w:val="22"/>
          <w:szCs w:val="22"/>
        </w:rPr>
        <w:t xml:space="preserve"> </w:t>
      </w:r>
    </w:p>
    <w:p w14:paraId="26CE7206" w14:textId="41657BC8" w:rsidR="005D6337" w:rsidRDefault="005D6337">
      <w:pPr>
        <w:rPr>
          <w:rFonts w:ascii="Arial Narrow" w:hAnsi="Arial Narrow"/>
          <w:b/>
          <w:sz w:val="36"/>
        </w:rPr>
      </w:pPr>
    </w:p>
    <w:p w14:paraId="4DD32874" w14:textId="7F52CEA4" w:rsidR="00786686" w:rsidRDefault="00786686">
      <w:pPr>
        <w:pStyle w:val="Contents"/>
      </w:pPr>
      <w:r>
        <w:t>Contents</w:t>
      </w:r>
      <w:r>
        <w:tab/>
      </w:r>
      <w:r>
        <w:rPr>
          <w:sz w:val="24"/>
        </w:rPr>
        <w:t>Page</w:t>
      </w:r>
    </w:p>
    <w:p w14:paraId="38C3BA51" w14:textId="77777777" w:rsidR="00786686" w:rsidRDefault="00786686"/>
    <w:p w14:paraId="585BE5E9" w14:textId="77777777" w:rsidR="00D84DA8" w:rsidRPr="00D84DA8" w:rsidRDefault="00786686">
      <w:pPr>
        <w:pStyle w:val="TOC1"/>
        <w:rPr>
          <w:rFonts w:ascii="Arial Narrow" w:eastAsiaTheme="minorEastAsia" w:hAnsi="Arial Narrow" w:cstheme="minorBidi"/>
          <w:b w:val="0"/>
          <w:sz w:val="22"/>
          <w:szCs w:val="22"/>
          <w:lang w:eastAsia="en-NZ"/>
        </w:rPr>
      </w:pPr>
      <w:r w:rsidRPr="00D84DA8">
        <w:rPr>
          <w:rFonts w:ascii="Arial Narrow" w:hAnsi="Arial Narrow"/>
        </w:rPr>
        <w:fldChar w:fldCharType="begin"/>
      </w:r>
      <w:r w:rsidRPr="00D84DA8">
        <w:rPr>
          <w:rFonts w:ascii="Arial Narrow" w:hAnsi="Arial Narrow"/>
        </w:rPr>
        <w:instrText xml:space="preserve"> TOC \o "1-2" </w:instrText>
      </w:r>
      <w:r w:rsidRPr="00D84DA8">
        <w:rPr>
          <w:rFonts w:ascii="Arial Narrow" w:hAnsi="Arial Narrow"/>
        </w:rPr>
        <w:fldChar w:fldCharType="separate"/>
      </w:r>
      <w:r w:rsidR="00D84DA8" w:rsidRPr="00D84DA8">
        <w:rPr>
          <w:rFonts w:ascii="Arial Narrow" w:hAnsi="Arial Narrow"/>
        </w:rPr>
        <w:t>1</w:t>
      </w:r>
      <w:r w:rsidR="00D84DA8" w:rsidRPr="00D84DA8">
        <w:rPr>
          <w:rFonts w:ascii="Arial Narrow" w:eastAsiaTheme="minorEastAsia" w:hAnsi="Arial Narrow" w:cstheme="minorBidi"/>
          <w:b w:val="0"/>
          <w:sz w:val="22"/>
          <w:szCs w:val="22"/>
          <w:lang w:eastAsia="en-NZ"/>
        </w:rPr>
        <w:tab/>
      </w:r>
      <w:r w:rsidR="00D84DA8" w:rsidRPr="00D84DA8">
        <w:rPr>
          <w:rFonts w:ascii="Arial Narrow" w:hAnsi="Arial Narrow"/>
        </w:rPr>
        <w:t>Submission Information</w:t>
      </w:r>
      <w:r w:rsidR="00D84DA8" w:rsidRPr="00D84DA8">
        <w:rPr>
          <w:rFonts w:ascii="Arial Narrow" w:hAnsi="Arial Narrow"/>
        </w:rPr>
        <w:tab/>
      </w:r>
      <w:r w:rsidR="00D84DA8" w:rsidRPr="00D84DA8">
        <w:rPr>
          <w:rFonts w:ascii="Arial Narrow" w:hAnsi="Arial Narrow"/>
        </w:rPr>
        <w:fldChar w:fldCharType="begin"/>
      </w:r>
      <w:r w:rsidR="00D84DA8" w:rsidRPr="00D84DA8">
        <w:rPr>
          <w:rFonts w:ascii="Arial Narrow" w:hAnsi="Arial Narrow"/>
        </w:rPr>
        <w:instrText xml:space="preserve"> PAGEREF _Toc452018129 \h </w:instrText>
      </w:r>
      <w:r w:rsidR="00D84DA8" w:rsidRPr="00D84DA8">
        <w:rPr>
          <w:rFonts w:ascii="Arial Narrow" w:hAnsi="Arial Narrow"/>
        </w:rPr>
      </w:r>
      <w:r w:rsidR="00D84DA8" w:rsidRPr="00D84DA8">
        <w:rPr>
          <w:rFonts w:ascii="Arial Narrow" w:hAnsi="Arial Narrow"/>
        </w:rPr>
        <w:fldChar w:fldCharType="separate"/>
      </w:r>
      <w:r w:rsidR="00D84DA8" w:rsidRPr="00D84DA8">
        <w:rPr>
          <w:rFonts w:ascii="Arial Narrow" w:hAnsi="Arial Narrow"/>
        </w:rPr>
        <w:t>1</w:t>
      </w:r>
      <w:r w:rsidR="00D84DA8" w:rsidRPr="00D84DA8">
        <w:rPr>
          <w:rFonts w:ascii="Arial Narrow" w:hAnsi="Arial Narrow"/>
        </w:rPr>
        <w:fldChar w:fldCharType="end"/>
      </w:r>
    </w:p>
    <w:p w14:paraId="58900571"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1.1</w:t>
      </w:r>
      <w:r w:rsidRPr="00D84DA8">
        <w:rPr>
          <w:rFonts w:ascii="Arial Narrow" w:eastAsiaTheme="minorEastAsia" w:hAnsi="Arial Narrow" w:cstheme="minorBidi"/>
          <w:sz w:val="22"/>
          <w:szCs w:val="22"/>
          <w:lang w:eastAsia="en-NZ"/>
        </w:rPr>
        <w:tab/>
      </w:r>
      <w:r w:rsidRPr="00D84DA8">
        <w:rPr>
          <w:rFonts w:ascii="Arial Narrow" w:hAnsi="Arial Narrow"/>
        </w:rPr>
        <w:t>Official Information Act 1982</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_Toc452018130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w:t>
      </w:r>
      <w:r w:rsidRPr="00D84DA8">
        <w:rPr>
          <w:rFonts w:ascii="Arial Narrow" w:hAnsi="Arial Narrow"/>
        </w:rPr>
        <w:fldChar w:fldCharType="end"/>
      </w:r>
    </w:p>
    <w:p w14:paraId="282DAC2D"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2</w:t>
      </w:r>
      <w:r w:rsidRPr="00D84DA8">
        <w:rPr>
          <w:rFonts w:ascii="Arial Narrow" w:eastAsiaTheme="minorEastAsia" w:hAnsi="Arial Narrow" w:cstheme="minorBidi"/>
          <w:b w:val="0"/>
          <w:sz w:val="22"/>
          <w:szCs w:val="22"/>
          <w:lang w:eastAsia="en-NZ"/>
        </w:rPr>
        <w:tab/>
      </w:r>
      <w:r w:rsidRPr="00D84DA8">
        <w:rPr>
          <w:rFonts w:ascii="Arial Narrow" w:hAnsi="Arial Narrow"/>
        </w:rPr>
        <w:t>Executive Summary</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_Toc452018131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2</w:t>
      </w:r>
      <w:r w:rsidRPr="00D84DA8">
        <w:rPr>
          <w:rFonts w:ascii="Arial Narrow" w:hAnsi="Arial Narrow"/>
        </w:rPr>
        <w:fldChar w:fldCharType="end"/>
      </w:r>
    </w:p>
    <w:p w14:paraId="7B32F1F1"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3</w:t>
      </w:r>
      <w:r w:rsidRPr="00D84DA8">
        <w:rPr>
          <w:rFonts w:ascii="Arial Narrow" w:eastAsiaTheme="minorEastAsia" w:hAnsi="Arial Narrow" w:cstheme="minorBidi"/>
          <w:b w:val="0"/>
          <w:sz w:val="22"/>
          <w:szCs w:val="22"/>
          <w:lang w:eastAsia="en-NZ"/>
        </w:rPr>
        <w:tab/>
      </w:r>
      <w:r w:rsidRPr="00D84DA8">
        <w:rPr>
          <w:rFonts w:ascii="Arial Narrow" w:hAnsi="Arial Narrow"/>
        </w:rPr>
        <w:t>Purpose</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_Toc452018132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3</w:t>
      </w:r>
      <w:r w:rsidRPr="00D84DA8">
        <w:rPr>
          <w:rFonts w:ascii="Arial Narrow" w:hAnsi="Arial Narrow"/>
        </w:rPr>
        <w:fldChar w:fldCharType="end"/>
      </w:r>
    </w:p>
    <w:p w14:paraId="6C78A235"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3.1</w:t>
      </w:r>
      <w:r w:rsidRPr="00D84DA8">
        <w:rPr>
          <w:rFonts w:ascii="Arial Narrow" w:eastAsiaTheme="minorEastAsia" w:hAnsi="Arial Narrow" w:cstheme="minorBidi"/>
          <w:sz w:val="22"/>
          <w:szCs w:val="22"/>
          <w:lang w:eastAsia="en-NZ"/>
        </w:rPr>
        <w:tab/>
      </w:r>
      <w:r w:rsidRPr="00D84DA8">
        <w:rPr>
          <w:rFonts w:ascii="Arial Narrow" w:hAnsi="Arial Narrow"/>
        </w:rPr>
        <w:t>Issue/Need for action</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_Toc452018133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3</w:t>
      </w:r>
      <w:r w:rsidRPr="00D84DA8">
        <w:rPr>
          <w:rFonts w:ascii="Arial Narrow" w:hAnsi="Arial Narrow"/>
        </w:rPr>
        <w:fldChar w:fldCharType="end"/>
      </w:r>
    </w:p>
    <w:p w14:paraId="6AF3CE9A"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3.2</w:t>
      </w:r>
      <w:r w:rsidRPr="00D84DA8">
        <w:rPr>
          <w:rFonts w:ascii="Arial Narrow" w:eastAsiaTheme="minorEastAsia" w:hAnsi="Arial Narrow" w:cstheme="minorBidi"/>
          <w:sz w:val="22"/>
          <w:szCs w:val="22"/>
          <w:lang w:eastAsia="en-NZ"/>
        </w:rPr>
        <w:tab/>
      </w:r>
      <w:r w:rsidRPr="00D84DA8">
        <w:rPr>
          <w:rFonts w:ascii="Arial Narrow" w:hAnsi="Arial Narrow"/>
        </w:rPr>
        <w:t>Management approach</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_Toc452018134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3</w:t>
      </w:r>
      <w:r w:rsidRPr="00D84DA8">
        <w:rPr>
          <w:rFonts w:ascii="Arial Narrow" w:hAnsi="Arial Narrow"/>
        </w:rPr>
        <w:fldChar w:fldCharType="end"/>
      </w:r>
    </w:p>
    <w:p w14:paraId="2649D3D2"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4</w:t>
      </w:r>
      <w:r w:rsidRPr="00D84DA8">
        <w:rPr>
          <w:rFonts w:ascii="Arial Narrow" w:eastAsiaTheme="minorEastAsia" w:hAnsi="Arial Narrow" w:cstheme="minorBidi"/>
          <w:b w:val="0"/>
          <w:sz w:val="22"/>
          <w:szCs w:val="22"/>
          <w:lang w:eastAsia="en-NZ"/>
        </w:rPr>
        <w:tab/>
      </w:r>
      <w:r w:rsidRPr="00D84DA8">
        <w:rPr>
          <w:rFonts w:ascii="Arial Narrow" w:hAnsi="Arial Narrow"/>
        </w:rPr>
        <w:t>Background Information</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_Toc452018135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4</w:t>
      </w:r>
      <w:r w:rsidRPr="00D84DA8">
        <w:rPr>
          <w:rFonts w:ascii="Arial Narrow" w:hAnsi="Arial Narrow"/>
        </w:rPr>
        <w:fldChar w:fldCharType="end"/>
      </w:r>
    </w:p>
    <w:p w14:paraId="794FEC16"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4.1</w:t>
      </w:r>
      <w:r w:rsidRPr="00D84DA8">
        <w:rPr>
          <w:rFonts w:ascii="Arial Narrow" w:eastAsiaTheme="minorEastAsia" w:hAnsi="Arial Narrow" w:cstheme="minorBidi"/>
          <w:sz w:val="22"/>
          <w:szCs w:val="22"/>
          <w:lang w:eastAsia="en-NZ"/>
        </w:rPr>
        <w:tab/>
      </w:r>
      <w:r w:rsidRPr="00D84DA8">
        <w:rPr>
          <w:rFonts w:ascii="Arial Narrow" w:hAnsi="Arial Narrow"/>
        </w:rPr>
        <w:t>Biological characteristics of jack mackerel species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_Toc452018136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4</w:t>
      </w:r>
      <w:r w:rsidRPr="00D84DA8">
        <w:rPr>
          <w:rFonts w:ascii="Arial Narrow" w:hAnsi="Arial Narrow"/>
        </w:rPr>
        <w:fldChar w:fldCharType="end"/>
      </w:r>
    </w:p>
    <w:p w14:paraId="0A210F2B"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4.2</w:t>
      </w:r>
      <w:r w:rsidRPr="00D84DA8">
        <w:rPr>
          <w:rFonts w:ascii="Arial Narrow" w:eastAsiaTheme="minorEastAsia" w:hAnsi="Arial Narrow" w:cstheme="minorBidi"/>
          <w:sz w:val="22"/>
          <w:szCs w:val="22"/>
          <w:lang w:eastAsia="en-NZ"/>
        </w:rPr>
        <w:tab/>
      </w:r>
      <w:r w:rsidRPr="00D84DA8">
        <w:rPr>
          <w:rFonts w:ascii="Arial Narrow" w:hAnsi="Arial Narrow"/>
        </w:rPr>
        <w:t>Fishery description</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_Toc452018137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5</w:t>
      </w:r>
      <w:r w:rsidRPr="00D84DA8">
        <w:rPr>
          <w:rFonts w:ascii="Arial Narrow" w:hAnsi="Arial Narrow"/>
        </w:rPr>
        <w:fldChar w:fldCharType="end"/>
      </w:r>
    </w:p>
    <w:p w14:paraId="314F8BCF"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4.3</w:t>
      </w:r>
      <w:r w:rsidRPr="00D84DA8">
        <w:rPr>
          <w:rFonts w:ascii="Arial Narrow" w:eastAsiaTheme="minorEastAsia" w:hAnsi="Arial Narrow" w:cstheme="minorBidi"/>
          <w:sz w:val="22"/>
          <w:szCs w:val="22"/>
          <w:lang w:eastAsia="en-NZ"/>
        </w:rPr>
        <w:tab/>
      </w:r>
      <w:r w:rsidRPr="00D84DA8">
        <w:rPr>
          <w:rFonts w:ascii="Arial Narrow" w:hAnsi="Arial Narrow"/>
        </w:rPr>
        <w:t>Previous review</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_Toc452018138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6</w:t>
      </w:r>
      <w:r w:rsidRPr="00D84DA8">
        <w:rPr>
          <w:rFonts w:ascii="Arial Narrow" w:hAnsi="Arial Narrow"/>
        </w:rPr>
        <w:fldChar w:fldCharType="end"/>
      </w:r>
    </w:p>
    <w:p w14:paraId="53B35DF6"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4.4</w:t>
      </w:r>
      <w:r w:rsidRPr="00D84DA8">
        <w:rPr>
          <w:rFonts w:ascii="Arial Narrow" w:eastAsiaTheme="minorEastAsia" w:hAnsi="Arial Narrow" w:cstheme="minorBidi"/>
          <w:sz w:val="22"/>
          <w:szCs w:val="22"/>
          <w:lang w:eastAsia="en-NZ"/>
        </w:rPr>
        <w:tab/>
      </w:r>
      <w:r w:rsidRPr="00D84DA8">
        <w:rPr>
          <w:rFonts w:ascii="Arial Narrow" w:hAnsi="Arial Narrow"/>
        </w:rPr>
        <w:t>New information</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_Toc452018139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6</w:t>
      </w:r>
      <w:r w:rsidRPr="00D84DA8">
        <w:rPr>
          <w:rFonts w:ascii="Arial Narrow" w:hAnsi="Arial Narrow"/>
        </w:rPr>
        <w:fldChar w:fldCharType="end"/>
      </w:r>
    </w:p>
    <w:p w14:paraId="23289770"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5</w:t>
      </w:r>
      <w:r w:rsidRPr="00D84DA8">
        <w:rPr>
          <w:rFonts w:ascii="Arial Narrow" w:eastAsiaTheme="minorEastAsia" w:hAnsi="Arial Narrow" w:cstheme="minorBidi"/>
          <w:b w:val="0"/>
          <w:sz w:val="22"/>
          <w:szCs w:val="22"/>
          <w:lang w:eastAsia="en-NZ"/>
        </w:rPr>
        <w:tab/>
      </w:r>
      <w:r w:rsidRPr="00D84DA8">
        <w:rPr>
          <w:rFonts w:ascii="Arial Narrow" w:hAnsi="Arial Narrow"/>
        </w:rPr>
        <w:t>Legal Considerations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_Toc452018140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7</w:t>
      </w:r>
      <w:r w:rsidRPr="00D84DA8">
        <w:rPr>
          <w:rFonts w:ascii="Arial Narrow" w:hAnsi="Arial Narrow"/>
        </w:rPr>
        <w:fldChar w:fldCharType="end"/>
      </w:r>
    </w:p>
    <w:p w14:paraId="67465AD5"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5.1</w:t>
      </w:r>
      <w:r w:rsidRPr="00D84DA8">
        <w:rPr>
          <w:rFonts w:ascii="Arial Narrow" w:eastAsiaTheme="minorEastAsia" w:hAnsi="Arial Narrow" w:cstheme="minorBidi"/>
          <w:sz w:val="22"/>
          <w:szCs w:val="22"/>
          <w:lang w:eastAsia="en-NZ"/>
        </w:rPr>
        <w:tab/>
      </w:r>
      <w:r w:rsidRPr="00D84DA8">
        <w:rPr>
          <w:rFonts w:ascii="Arial Narrow" w:hAnsi="Arial Narrow"/>
        </w:rPr>
        <w:t>Setting management measures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_Toc452018141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7</w:t>
      </w:r>
      <w:r w:rsidRPr="00D84DA8">
        <w:rPr>
          <w:rFonts w:ascii="Arial Narrow" w:hAnsi="Arial Narrow"/>
        </w:rPr>
        <w:fldChar w:fldCharType="end"/>
      </w:r>
    </w:p>
    <w:p w14:paraId="11179199"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5.2</w:t>
      </w:r>
      <w:r w:rsidRPr="00D84DA8">
        <w:rPr>
          <w:rFonts w:ascii="Arial Narrow" w:eastAsiaTheme="minorEastAsia" w:hAnsi="Arial Narrow" w:cstheme="minorBidi"/>
          <w:sz w:val="22"/>
          <w:szCs w:val="22"/>
          <w:lang w:eastAsia="en-NZ"/>
        </w:rPr>
        <w:tab/>
      </w:r>
      <w:r w:rsidRPr="00D84DA8">
        <w:rPr>
          <w:rFonts w:ascii="Arial Narrow" w:hAnsi="Arial Narrow"/>
        </w:rPr>
        <w:t>Further considerations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_Toc452018142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8</w:t>
      </w:r>
      <w:r w:rsidRPr="00D84DA8">
        <w:rPr>
          <w:rFonts w:ascii="Arial Narrow" w:hAnsi="Arial Narrow"/>
        </w:rPr>
        <w:fldChar w:fldCharType="end"/>
      </w:r>
    </w:p>
    <w:p w14:paraId="5039437E"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6</w:t>
      </w:r>
      <w:r w:rsidRPr="00D84DA8">
        <w:rPr>
          <w:rFonts w:ascii="Arial Narrow" w:eastAsiaTheme="minorEastAsia" w:hAnsi="Arial Narrow" w:cstheme="minorBidi"/>
          <w:b w:val="0"/>
          <w:sz w:val="22"/>
          <w:szCs w:val="22"/>
          <w:lang w:eastAsia="en-NZ"/>
        </w:rPr>
        <w:tab/>
      </w:r>
      <w:r w:rsidRPr="00D84DA8">
        <w:rPr>
          <w:rFonts w:ascii="Arial Narrow" w:hAnsi="Arial Narrow"/>
        </w:rPr>
        <w:t>Proposed Options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_Toc452018143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10</w:t>
      </w:r>
      <w:r w:rsidRPr="00D84DA8">
        <w:rPr>
          <w:rFonts w:ascii="Arial Narrow" w:hAnsi="Arial Narrow"/>
        </w:rPr>
        <w:fldChar w:fldCharType="end"/>
      </w:r>
    </w:p>
    <w:p w14:paraId="3FDF195B"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6.1</w:t>
      </w:r>
      <w:r w:rsidRPr="00D84DA8">
        <w:rPr>
          <w:rFonts w:ascii="Arial Narrow" w:eastAsiaTheme="minorEastAsia" w:hAnsi="Arial Narrow" w:cstheme="minorBidi"/>
          <w:sz w:val="22"/>
          <w:szCs w:val="22"/>
          <w:lang w:eastAsia="en-NZ"/>
        </w:rPr>
        <w:tab/>
      </w:r>
      <w:r w:rsidRPr="00D84DA8">
        <w:rPr>
          <w:rFonts w:ascii="Arial Narrow" w:hAnsi="Arial Narrow"/>
        </w:rPr>
        <w:t>Option 1</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_Toc452018144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10</w:t>
      </w:r>
      <w:r w:rsidRPr="00D84DA8">
        <w:rPr>
          <w:rFonts w:ascii="Arial Narrow" w:hAnsi="Arial Narrow"/>
        </w:rPr>
        <w:fldChar w:fldCharType="end"/>
      </w:r>
    </w:p>
    <w:p w14:paraId="6CDC9711"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6.2</w:t>
      </w:r>
      <w:r w:rsidRPr="00D84DA8">
        <w:rPr>
          <w:rFonts w:ascii="Arial Narrow" w:eastAsiaTheme="minorEastAsia" w:hAnsi="Arial Narrow" w:cstheme="minorBidi"/>
          <w:sz w:val="22"/>
          <w:szCs w:val="22"/>
          <w:lang w:eastAsia="en-NZ"/>
        </w:rPr>
        <w:tab/>
      </w:r>
      <w:r w:rsidRPr="00D84DA8">
        <w:rPr>
          <w:rFonts w:ascii="Arial Narrow" w:hAnsi="Arial Narrow"/>
        </w:rPr>
        <w:t>Option 2</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_Toc452018145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10</w:t>
      </w:r>
      <w:r w:rsidRPr="00D84DA8">
        <w:rPr>
          <w:rFonts w:ascii="Arial Narrow" w:hAnsi="Arial Narrow"/>
        </w:rPr>
        <w:fldChar w:fldCharType="end"/>
      </w:r>
    </w:p>
    <w:p w14:paraId="659C4D4D"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6.3</w:t>
      </w:r>
      <w:r w:rsidRPr="00D84DA8">
        <w:rPr>
          <w:rFonts w:ascii="Arial Narrow" w:eastAsiaTheme="minorEastAsia" w:hAnsi="Arial Narrow" w:cstheme="minorBidi"/>
          <w:sz w:val="22"/>
          <w:szCs w:val="22"/>
          <w:lang w:eastAsia="en-NZ"/>
        </w:rPr>
        <w:tab/>
      </w:r>
      <w:r w:rsidRPr="00D84DA8">
        <w:rPr>
          <w:rFonts w:ascii="Arial Narrow" w:hAnsi="Arial Narrow"/>
        </w:rPr>
        <w:t>Option 3</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_Toc452018146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10</w:t>
      </w:r>
      <w:r w:rsidRPr="00D84DA8">
        <w:rPr>
          <w:rFonts w:ascii="Arial Narrow" w:hAnsi="Arial Narrow"/>
        </w:rPr>
        <w:fldChar w:fldCharType="end"/>
      </w:r>
    </w:p>
    <w:p w14:paraId="384E72FE"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6.4</w:t>
      </w:r>
      <w:r w:rsidRPr="00D84DA8">
        <w:rPr>
          <w:rFonts w:ascii="Arial Narrow" w:eastAsiaTheme="minorEastAsia" w:hAnsi="Arial Narrow" w:cstheme="minorBidi"/>
          <w:sz w:val="22"/>
          <w:szCs w:val="22"/>
          <w:lang w:eastAsia="en-NZ"/>
        </w:rPr>
        <w:tab/>
      </w:r>
      <w:r w:rsidRPr="00D84DA8">
        <w:rPr>
          <w:rFonts w:ascii="Arial Narrow" w:hAnsi="Arial Narrow"/>
        </w:rPr>
        <w:t>Option 4</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_Toc452018147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10</w:t>
      </w:r>
      <w:r w:rsidRPr="00D84DA8">
        <w:rPr>
          <w:rFonts w:ascii="Arial Narrow" w:hAnsi="Arial Narrow"/>
        </w:rPr>
        <w:fldChar w:fldCharType="end"/>
      </w:r>
    </w:p>
    <w:p w14:paraId="349E42F4"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7</w:t>
      </w:r>
      <w:r w:rsidRPr="00D84DA8">
        <w:rPr>
          <w:rFonts w:ascii="Arial Narrow" w:eastAsiaTheme="minorEastAsia" w:hAnsi="Arial Narrow" w:cstheme="minorBidi"/>
          <w:b w:val="0"/>
          <w:sz w:val="22"/>
          <w:szCs w:val="22"/>
          <w:lang w:eastAsia="en-NZ"/>
        </w:rPr>
        <w:tab/>
      </w:r>
      <w:r w:rsidRPr="00D84DA8">
        <w:rPr>
          <w:rFonts w:ascii="Arial Narrow" w:hAnsi="Arial Narrow"/>
        </w:rPr>
        <w:t>Other Matters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_Toc452018148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11</w:t>
      </w:r>
      <w:r w:rsidRPr="00D84DA8">
        <w:rPr>
          <w:rFonts w:ascii="Arial Narrow" w:hAnsi="Arial Narrow"/>
        </w:rPr>
        <w:fldChar w:fldCharType="end"/>
      </w:r>
    </w:p>
    <w:p w14:paraId="367B6BD3"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7.1</w:t>
      </w:r>
      <w:r w:rsidRPr="00D84DA8">
        <w:rPr>
          <w:rFonts w:ascii="Arial Narrow" w:eastAsiaTheme="minorEastAsia" w:hAnsi="Arial Narrow" w:cstheme="minorBidi"/>
          <w:sz w:val="22"/>
          <w:szCs w:val="22"/>
          <w:lang w:eastAsia="en-NZ"/>
        </w:rPr>
        <w:tab/>
      </w:r>
      <w:r w:rsidRPr="00D84DA8">
        <w:rPr>
          <w:rFonts w:ascii="Arial Narrow" w:hAnsi="Arial Narrow"/>
        </w:rPr>
        <w:t>Deemed value rates</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_Toc452018149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11</w:t>
      </w:r>
      <w:r w:rsidRPr="00D84DA8">
        <w:rPr>
          <w:rFonts w:ascii="Arial Narrow" w:hAnsi="Arial Narrow"/>
        </w:rPr>
        <w:fldChar w:fldCharType="end"/>
      </w:r>
    </w:p>
    <w:p w14:paraId="37E447AF" w14:textId="77777777" w:rsidR="00D84DA8" w:rsidRPr="00D84DA8" w:rsidRDefault="00D84DA8">
      <w:pPr>
        <w:pStyle w:val="TOC2"/>
        <w:rPr>
          <w:rFonts w:ascii="Arial Narrow" w:eastAsiaTheme="minorEastAsia" w:hAnsi="Arial Narrow" w:cstheme="minorBidi"/>
          <w:sz w:val="22"/>
          <w:szCs w:val="22"/>
          <w:lang w:eastAsia="en-NZ"/>
        </w:rPr>
      </w:pPr>
      <w:r w:rsidRPr="00D84DA8">
        <w:rPr>
          <w:rFonts w:ascii="Arial Narrow" w:hAnsi="Arial Narrow"/>
        </w:rPr>
        <w:t>7.2</w:t>
      </w:r>
      <w:r w:rsidRPr="00D84DA8">
        <w:rPr>
          <w:rFonts w:ascii="Arial Narrow" w:eastAsiaTheme="minorEastAsia" w:hAnsi="Arial Narrow" w:cstheme="minorBidi"/>
          <w:sz w:val="22"/>
          <w:szCs w:val="22"/>
          <w:lang w:eastAsia="en-NZ"/>
        </w:rPr>
        <w:tab/>
      </w:r>
      <w:r w:rsidRPr="00D84DA8">
        <w:rPr>
          <w:rFonts w:ascii="Arial Narrow" w:hAnsi="Arial Narrow"/>
        </w:rPr>
        <w:t>JMA 1 stock</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_Toc452018150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11</w:t>
      </w:r>
      <w:r w:rsidRPr="00D84DA8">
        <w:rPr>
          <w:rFonts w:ascii="Arial Narrow" w:hAnsi="Arial Narrow"/>
        </w:rPr>
        <w:fldChar w:fldCharType="end"/>
      </w:r>
    </w:p>
    <w:p w14:paraId="4B9EC9BC" w14:textId="77777777" w:rsidR="00D84DA8" w:rsidRPr="00D84DA8" w:rsidRDefault="00D84DA8">
      <w:pPr>
        <w:pStyle w:val="TOC1"/>
        <w:rPr>
          <w:rFonts w:ascii="Arial Narrow" w:eastAsiaTheme="minorEastAsia" w:hAnsi="Arial Narrow" w:cstheme="minorBidi"/>
          <w:b w:val="0"/>
          <w:sz w:val="22"/>
          <w:szCs w:val="22"/>
          <w:lang w:eastAsia="en-NZ"/>
        </w:rPr>
      </w:pPr>
      <w:r w:rsidRPr="00D84DA8">
        <w:rPr>
          <w:rFonts w:ascii="Arial Narrow" w:hAnsi="Arial Narrow"/>
        </w:rPr>
        <w:t>8</w:t>
      </w:r>
      <w:r w:rsidRPr="00D84DA8">
        <w:rPr>
          <w:rFonts w:ascii="Arial Narrow" w:eastAsiaTheme="minorEastAsia" w:hAnsi="Arial Narrow" w:cstheme="minorBidi"/>
          <w:b w:val="0"/>
          <w:sz w:val="22"/>
          <w:szCs w:val="22"/>
          <w:lang w:eastAsia="en-NZ"/>
        </w:rPr>
        <w:tab/>
      </w:r>
      <w:r w:rsidRPr="00D84DA8">
        <w:rPr>
          <w:rFonts w:ascii="Arial Narrow" w:hAnsi="Arial Narrow"/>
        </w:rPr>
        <w:t>Conclusion</w:t>
      </w:r>
      <w:r w:rsidRPr="00D84DA8">
        <w:rPr>
          <w:rFonts w:ascii="Arial Narrow" w:hAnsi="Arial Narrow"/>
        </w:rPr>
        <w:tab/>
      </w:r>
      <w:r w:rsidRPr="00D84DA8">
        <w:rPr>
          <w:rFonts w:ascii="Arial Narrow" w:hAnsi="Arial Narrow"/>
        </w:rPr>
        <w:fldChar w:fldCharType="begin"/>
      </w:r>
      <w:r w:rsidRPr="00D84DA8">
        <w:rPr>
          <w:rFonts w:ascii="Arial Narrow" w:hAnsi="Arial Narrow"/>
        </w:rPr>
        <w:instrText xml:space="preserve"> PAGEREF _Toc452018151 \h </w:instrText>
      </w:r>
      <w:r w:rsidRPr="00D84DA8">
        <w:rPr>
          <w:rFonts w:ascii="Arial Narrow" w:hAnsi="Arial Narrow"/>
        </w:rPr>
      </w:r>
      <w:r w:rsidRPr="00D84DA8">
        <w:rPr>
          <w:rFonts w:ascii="Arial Narrow" w:hAnsi="Arial Narrow"/>
        </w:rPr>
        <w:fldChar w:fldCharType="separate"/>
      </w:r>
      <w:r w:rsidRPr="00D84DA8">
        <w:rPr>
          <w:rFonts w:ascii="Arial Narrow" w:hAnsi="Arial Narrow"/>
        </w:rPr>
        <w:t>11</w:t>
      </w:r>
      <w:r w:rsidRPr="00D84DA8">
        <w:rPr>
          <w:rFonts w:ascii="Arial Narrow" w:hAnsi="Arial Narrow"/>
        </w:rPr>
        <w:fldChar w:fldCharType="end"/>
      </w:r>
    </w:p>
    <w:p w14:paraId="5B622BAE" w14:textId="77777777" w:rsidR="00471C3D" w:rsidRPr="00471C3D" w:rsidRDefault="00786686" w:rsidP="00471C3D">
      <w:pPr>
        <w:pStyle w:val="TOC1"/>
        <w:rPr>
          <w:color w:val="0070C0"/>
        </w:rPr>
      </w:pPr>
      <w:r w:rsidRPr="00D84DA8">
        <w:rPr>
          <w:rFonts w:ascii="Arial Narrow" w:hAnsi="Arial Narrow"/>
        </w:rPr>
        <w:fldChar w:fldCharType="end"/>
      </w:r>
    </w:p>
    <w:p w14:paraId="603288AD" w14:textId="77777777" w:rsidR="00786686" w:rsidRDefault="00786686">
      <w:pPr>
        <w:pStyle w:val="TOC1"/>
        <w:sectPr w:rsidR="00786686">
          <w:headerReference w:type="default" r:id="rId19"/>
          <w:footerReference w:type="even" r:id="rId20"/>
          <w:footerReference w:type="default" r:id="rId21"/>
          <w:footerReference w:type="first" r:id="rId22"/>
          <w:type w:val="oddPage"/>
          <w:pgSz w:w="11907" w:h="16840" w:code="9"/>
          <w:pgMar w:top="1134" w:right="1418" w:bottom="1134" w:left="1418" w:header="720" w:footer="720" w:gutter="0"/>
          <w:pgNumType w:fmt="lowerRoman" w:start="1"/>
          <w:cols w:space="720" w:equalWidth="0">
            <w:col w:w="9049"/>
          </w:cols>
        </w:sectPr>
      </w:pPr>
      <w:r>
        <w:t xml:space="preserve"> </w:t>
      </w:r>
      <w:r>
        <w:fldChar w:fldCharType="begin"/>
      </w:r>
      <w:r>
        <w:instrText xml:space="preserve">  </w:instrText>
      </w:r>
      <w:r>
        <w:fldChar w:fldCharType="end"/>
      </w:r>
    </w:p>
    <w:p w14:paraId="0DB24638" w14:textId="77777777" w:rsidR="00015376" w:rsidRDefault="00015376" w:rsidP="00015376">
      <w:pPr>
        <w:pStyle w:val="Heading1"/>
        <w:numPr>
          <w:ilvl w:val="0"/>
          <w:numId w:val="38"/>
        </w:numPr>
      </w:pPr>
      <w:bookmarkStart w:id="1" w:name="_Toc452018129"/>
      <w:bookmarkStart w:id="2" w:name="_Toc399138960"/>
      <w:r>
        <w:lastRenderedPageBreak/>
        <w:t>Submission Information</w:t>
      </w:r>
      <w:bookmarkEnd w:id="1"/>
    </w:p>
    <w:p w14:paraId="0B3C7F01" w14:textId="232627ED" w:rsidR="009303F7" w:rsidRDefault="00015376" w:rsidP="00015376">
      <w:r>
        <w:t xml:space="preserve">MPI welcomes written </w:t>
      </w:r>
      <w:r w:rsidR="0050492A">
        <w:t>submissions on the</w:t>
      </w:r>
      <w:r w:rsidR="009303F7">
        <w:t xml:space="preserve"> proposals contained in the Consultation Document. All written submissions must be receiv</w:t>
      </w:r>
      <w:r w:rsidR="00434883">
        <w:t xml:space="preserve">ed by MPI no later than 5pm on </w:t>
      </w:r>
      <w:r w:rsidR="00E05688">
        <w:t>Monday 11</w:t>
      </w:r>
      <w:r w:rsidR="00434883">
        <w:t xml:space="preserve"> July</w:t>
      </w:r>
      <w:r w:rsidR="009303F7">
        <w:t>.</w:t>
      </w:r>
    </w:p>
    <w:p w14:paraId="2AE106BB" w14:textId="77777777" w:rsidR="009303F7" w:rsidRDefault="009303F7" w:rsidP="00015376"/>
    <w:p w14:paraId="15CC04B6" w14:textId="77777777" w:rsidR="009303F7" w:rsidRDefault="009303F7" w:rsidP="00015376">
      <w:r>
        <w:t>Written submissions should be sent directly to:</w:t>
      </w:r>
    </w:p>
    <w:p w14:paraId="4EDD6640" w14:textId="77777777" w:rsidR="009303F7" w:rsidRDefault="009303F7" w:rsidP="009303F7">
      <w:pPr>
        <w:ind w:firstLine="720"/>
      </w:pPr>
      <w:r>
        <w:t>Deepwater Fisheries Management</w:t>
      </w:r>
    </w:p>
    <w:p w14:paraId="1EA87E91" w14:textId="77777777" w:rsidR="009303F7" w:rsidRDefault="009303F7" w:rsidP="009303F7">
      <w:pPr>
        <w:ind w:firstLine="720"/>
      </w:pPr>
      <w:r>
        <w:t>Ministry for Primary Industries</w:t>
      </w:r>
    </w:p>
    <w:p w14:paraId="410C47EF" w14:textId="77777777" w:rsidR="009303F7" w:rsidRDefault="009303F7" w:rsidP="009303F7">
      <w:pPr>
        <w:ind w:firstLine="720"/>
      </w:pPr>
      <w:r>
        <w:t>P O Box 2526</w:t>
      </w:r>
    </w:p>
    <w:p w14:paraId="0F306BB3" w14:textId="77777777" w:rsidR="009303F7" w:rsidRDefault="009303F7" w:rsidP="009303F7">
      <w:pPr>
        <w:ind w:firstLine="720"/>
      </w:pPr>
      <w:r>
        <w:t>Wellington 6011</w:t>
      </w:r>
    </w:p>
    <w:p w14:paraId="4FA07DA1" w14:textId="77777777" w:rsidR="009303F7" w:rsidRDefault="009303F7" w:rsidP="009303F7"/>
    <w:p w14:paraId="5B006DE4" w14:textId="77777777" w:rsidR="009303F7" w:rsidRDefault="009303F7" w:rsidP="009303F7">
      <w:r>
        <w:t xml:space="preserve">or emailed to </w:t>
      </w:r>
      <w:hyperlink r:id="rId23" w:history="1">
        <w:r w:rsidRPr="00EF3BB0">
          <w:rPr>
            <w:rStyle w:val="Hyperlink"/>
          </w:rPr>
          <w:t>FMsubmissions@mpi.govt.nz</w:t>
        </w:r>
      </w:hyperlink>
    </w:p>
    <w:p w14:paraId="3A84ACF4" w14:textId="77777777" w:rsidR="009303F7" w:rsidRDefault="009303F7" w:rsidP="009303F7"/>
    <w:p w14:paraId="0EEBE06A" w14:textId="763FE7E2" w:rsidR="009303F7" w:rsidRDefault="009303F7" w:rsidP="009303F7">
      <w:pPr>
        <w:pStyle w:val="Heading2"/>
      </w:pPr>
      <w:bookmarkStart w:id="3" w:name="_Toc452018130"/>
      <w:r>
        <w:t>O</w:t>
      </w:r>
      <w:r w:rsidR="000308AC">
        <w:t>fficial</w:t>
      </w:r>
      <w:r>
        <w:t xml:space="preserve"> I</w:t>
      </w:r>
      <w:r w:rsidR="000308AC">
        <w:t>nformation</w:t>
      </w:r>
      <w:r>
        <w:t xml:space="preserve"> A</w:t>
      </w:r>
      <w:r w:rsidR="000308AC">
        <w:t>ct</w:t>
      </w:r>
      <w:r>
        <w:t xml:space="preserve"> 1982</w:t>
      </w:r>
      <w:bookmarkEnd w:id="3"/>
    </w:p>
    <w:p w14:paraId="0A0CF8D6" w14:textId="77777777" w:rsidR="009303F7" w:rsidRDefault="009303F7" w:rsidP="009303F7">
      <w:pPr>
        <w:rPr>
          <w:szCs w:val="24"/>
        </w:rPr>
      </w:pPr>
      <w:r>
        <w:t xml:space="preserve">All submissions are subject to the Official Information Act and can be released (along with </w:t>
      </w:r>
      <w:r>
        <w:rPr>
          <w:szCs w:val="24"/>
        </w:rPr>
        <w:t>personal details</w:t>
      </w:r>
      <w:r w:rsidRPr="00A061F7">
        <w:rPr>
          <w:szCs w:val="24"/>
        </w:rPr>
        <w:t xml:space="preserve"> of the submitter) under the Act. If you have specific reasons for wanting to have your submission or </w:t>
      </w:r>
      <w:r>
        <w:rPr>
          <w:szCs w:val="24"/>
        </w:rPr>
        <w:t>personal details</w:t>
      </w:r>
      <w:r w:rsidRPr="00A061F7">
        <w:rPr>
          <w:szCs w:val="24"/>
        </w:rPr>
        <w:t xml:space="preserve"> withheld, please set out your reasons in the submission. MPI will consider those reasons when making any assessment for the release of submissions if requested under the Official Information Act. </w:t>
      </w:r>
    </w:p>
    <w:p w14:paraId="2555E33C" w14:textId="1B3B2B59" w:rsidR="005D6337" w:rsidRDefault="005D6337">
      <w:pPr>
        <w:rPr>
          <w:szCs w:val="24"/>
        </w:rPr>
      </w:pPr>
      <w:r>
        <w:rPr>
          <w:szCs w:val="24"/>
        </w:rPr>
        <w:br w:type="page"/>
      </w:r>
    </w:p>
    <w:p w14:paraId="47FABD0A" w14:textId="35760112" w:rsidR="005D6337" w:rsidRDefault="00A30C8F" w:rsidP="005D6337">
      <w:pPr>
        <w:jc w:val="center"/>
        <w:rPr>
          <w:szCs w:val="24"/>
        </w:rPr>
      </w:pPr>
      <w:r>
        <w:rPr>
          <w:noProof/>
          <w:szCs w:val="24"/>
          <w:lang w:eastAsia="en-NZ"/>
        </w:rPr>
        <w:lastRenderedPageBreak/>
        <w:drawing>
          <wp:inline distT="0" distB="0" distL="0" distR="0" wp14:anchorId="0B13D42D" wp14:editId="4C2D6FD4">
            <wp:extent cx="2524125" cy="2762817"/>
            <wp:effectExtent l="19050" t="19050" r="952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A3.jpg"/>
                    <pic:cNvPicPr/>
                  </pic:nvPicPr>
                  <pic:blipFill rotWithShape="1">
                    <a:blip r:embed="rId24" cstate="print">
                      <a:extLst>
                        <a:ext uri="{28A0092B-C50C-407E-A947-70E740481C1C}">
                          <a14:useLocalDpi xmlns:a14="http://schemas.microsoft.com/office/drawing/2010/main" val="0"/>
                        </a:ext>
                      </a:extLst>
                    </a:blip>
                    <a:srcRect l="5623" r="40628"/>
                    <a:stretch/>
                  </pic:blipFill>
                  <pic:spPr bwMode="auto">
                    <a:xfrm>
                      <a:off x="0" y="0"/>
                      <a:ext cx="2531355" cy="27707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6D55307" w14:textId="05D26C05" w:rsidR="005D6337" w:rsidRPr="005D6337" w:rsidRDefault="00434883" w:rsidP="005D6337">
      <w:pPr>
        <w:rPr>
          <w:rFonts w:ascii="Arial Narrow" w:hAnsi="Arial Narrow"/>
          <w:b/>
          <w:szCs w:val="24"/>
        </w:rPr>
      </w:pPr>
      <w:r>
        <w:rPr>
          <w:rFonts w:ascii="Arial Narrow" w:hAnsi="Arial Narrow"/>
          <w:b/>
          <w:szCs w:val="24"/>
        </w:rPr>
        <w:t>Figure 1. Quota management a</w:t>
      </w:r>
      <w:r w:rsidR="005D6337" w:rsidRPr="005D6337">
        <w:rPr>
          <w:rFonts w:ascii="Arial Narrow" w:hAnsi="Arial Narrow"/>
          <w:b/>
          <w:szCs w:val="24"/>
        </w:rPr>
        <w:t xml:space="preserve">rea (QMA) for the </w:t>
      </w:r>
      <w:r w:rsidR="005B097B">
        <w:rPr>
          <w:rFonts w:ascii="Arial Narrow" w:hAnsi="Arial Narrow"/>
          <w:b/>
          <w:szCs w:val="24"/>
        </w:rPr>
        <w:t>JMA 3</w:t>
      </w:r>
      <w:r w:rsidR="005D6337" w:rsidRPr="005D6337">
        <w:rPr>
          <w:rFonts w:ascii="Arial Narrow" w:hAnsi="Arial Narrow"/>
          <w:b/>
          <w:szCs w:val="24"/>
        </w:rPr>
        <w:t xml:space="preserve"> fishery</w:t>
      </w:r>
    </w:p>
    <w:p w14:paraId="27CE9166" w14:textId="77777777" w:rsidR="005D6337" w:rsidRDefault="005D6337" w:rsidP="005D6337">
      <w:pPr>
        <w:jc w:val="center"/>
        <w:rPr>
          <w:szCs w:val="24"/>
        </w:rPr>
      </w:pPr>
    </w:p>
    <w:p w14:paraId="2EB2D14E" w14:textId="6B61E332" w:rsidR="00471C3D" w:rsidRDefault="00471C3D" w:rsidP="009303F7">
      <w:pPr>
        <w:pStyle w:val="Heading1"/>
      </w:pPr>
      <w:bookmarkStart w:id="4" w:name="_Toc452018131"/>
      <w:r>
        <w:t>Executive Summary</w:t>
      </w:r>
      <w:bookmarkEnd w:id="2"/>
      <w:bookmarkEnd w:id="4"/>
    </w:p>
    <w:p w14:paraId="0FF453BA" w14:textId="7ED31960" w:rsidR="006029C3" w:rsidRDefault="006029C3" w:rsidP="00471C3D">
      <w:r>
        <w:t>T</w:t>
      </w:r>
      <w:r w:rsidR="00015376">
        <w:t xml:space="preserve">he </w:t>
      </w:r>
      <w:r w:rsidR="002A6A6A">
        <w:t>Ministry for Primary Industries (MPI</w:t>
      </w:r>
      <w:r w:rsidR="00015376">
        <w:t xml:space="preserve">) </w:t>
      </w:r>
      <w:r>
        <w:t>is seeking information and views from tangata whenua and stakeholders to inform a review of</w:t>
      </w:r>
      <w:r w:rsidR="00015376">
        <w:t xml:space="preserve"> catch limits and allowances for the </w:t>
      </w:r>
      <w:r>
        <w:t>southern jack mackerel stock (</w:t>
      </w:r>
      <w:r w:rsidR="005B097B">
        <w:t>JMA 3</w:t>
      </w:r>
      <w:r>
        <w:t>)</w:t>
      </w:r>
      <w:r w:rsidR="00015376">
        <w:t>.</w:t>
      </w:r>
    </w:p>
    <w:p w14:paraId="2B3CCA28" w14:textId="77777777" w:rsidR="006029C3" w:rsidRDefault="006029C3" w:rsidP="00471C3D"/>
    <w:p w14:paraId="5624343A" w14:textId="70DE290B" w:rsidR="00015376" w:rsidRDefault="006029C3" w:rsidP="00471C3D">
      <w:r>
        <w:t>New Zealand’s jack mackerel fisheries comprise three separate species that are managed as a species complex. Until the mid-1980s only</w:t>
      </w:r>
      <w:r w:rsidR="00015376">
        <w:t xml:space="preserve"> </w:t>
      </w:r>
      <w:r>
        <w:t>two jack mackerel species had been reported in New Zealand waters. The third species (</w:t>
      </w:r>
      <w:r w:rsidRPr="006029C3">
        <w:rPr>
          <w:i/>
        </w:rPr>
        <w:t>Trachurus murphyi</w:t>
      </w:r>
      <w:r>
        <w:t xml:space="preserve">, </w:t>
      </w:r>
      <w:r w:rsidR="007E7494">
        <w:t>also called</w:t>
      </w:r>
      <w:r>
        <w:t xml:space="preserve"> “Chilean” or “redtail” jack mackerel)</w:t>
      </w:r>
      <w:r w:rsidR="00015376">
        <w:t xml:space="preserve"> </w:t>
      </w:r>
      <w:r w:rsidR="00973607">
        <w:t>was first positively identified</w:t>
      </w:r>
      <w:r>
        <w:t xml:space="preserve"> in 198</w:t>
      </w:r>
      <w:r w:rsidR="00973607">
        <w:t>6 but may have been present since 1984</w:t>
      </w:r>
      <w:r>
        <w:t>.</w:t>
      </w:r>
    </w:p>
    <w:p w14:paraId="45F46ACA" w14:textId="77777777" w:rsidR="006029C3" w:rsidRDefault="006029C3" w:rsidP="00471C3D"/>
    <w:p w14:paraId="4CB1996E" w14:textId="4206A151" w:rsidR="00C743B6" w:rsidRDefault="006029C3" w:rsidP="00471C3D">
      <w:r>
        <w:t xml:space="preserve">After its initial reporting, the abundance of </w:t>
      </w:r>
      <w:r w:rsidRPr="006029C3">
        <w:rPr>
          <w:i/>
        </w:rPr>
        <w:t>T. murphyi</w:t>
      </w:r>
      <w:r>
        <w:t xml:space="preserve"> increased dramatically. The catch limit for the </w:t>
      </w:r>
      <w:r w:rsidR="005B097B">
        <w:t>JMA 3</w:t>
      </w:r>
      <w:r>
        <w:t xml:space="preserve"> stock was increased from 2,700 tonnes </w:t>
      </w:r>
      <w:r w:rsidR="00C743B6">
        <w:t xml:space="preserve">in 1992/93 </w:t>
      </w:r>
      <w:r>
        <w:t xml:space="preserve">to 18,000 tonnes </w:t>
      </w:r>
      <w:r w:rsidR="00C743B6">
        <w:t>in 199</w:t>
      </w:r>
      <w:r w:rsidR="007E7494">
        <w:t>4</w:t>
      </w:r>
      <w:r w:rsidR="00C743B6">
        <w:t>/9</w:t>
      </w:r>
      <w:r w:rsidR="007E7494">
        <w:t>5</w:t>
      </w:r>
      <w:r w:rsidR="00C743B6">
        <w:t xml:space="preserve"> </w:t>
      </w:r>
      <w:r>
        <w:t>in response to the increase</w:t>
      </w:r>
      <w:r w:rsidR="00682345">
        <w:t xml:space="preserve"> in</w:t>
      </w:r>
      <w:r w:rsidR="00A84C22">
        <w:t xml:space="preserve"> abundance.</w:t>
      </w:r>
      <w:r w:rsidR="00C743B6">
        <w:rPr>
          <w:i/>
        </w:rPr>
        <w:t xml:space="preserve"> </w:t>
      </w:r>
      <w:r w:rsidR="00C743B6">
        <w:t xml:space="preserve">Catch of </w:t>
      </w:r>
      <w:r w:rsidR="00C743B6" w:rsidRPr="006029C3">
        <w:rPr>
          <w:i/>
        </w:rPr>
        <w:t>T. murphyi</w:t>
      </w:r>
      <w:r w:rsidR="00C743B6">
        <w:t xml:space="preserve"> </w:t>
      </w:r>
      <w:r w:rsidR="00A84C22">
        <w:t xml:space="preserve">in </w:t>
      </w:r>
      <w:r w:rsidR="005B097B">
        <w:t>JMA 3</w:t>
      </w:r>
      <w:r w:rsidR="00A84C22">
        <w:t xml:space="preserve"> </w:t>
      </w:r>
      <w:r w:rsidR="00C743B6">
        <w:t>remained high throughout the 1990s</w:t>
      </w:r>
      <w:r w:rsidR="00A84C22">
        <w:t xml:space="preserve"> but has remained at or just above pre</w:t>
      </w:r>
      <w:r w:rsidR="00682345">
        <w:t>-</w:t>
      </w:r>
      <w:r w:rsidR="00A84C22">
        <w:t>1990s levels since 2000/01.</w:t>
      </w:r>
    </w:p>
    <w:p w14:paraId="5457E6D4" w14:textId="77777777" w:rsidR="00C743B6" w:rsidRDefault="00C743B6" w:rsidP="00471C3D"/>
    <w:p w14:paraId="4B3F3300" w14:textId="38E44952" w:rsidR="006029C3" w:rsidRDefault="00C743B6" w:rsidP="00471C3D">
      <w:pPr>
        <w:rPr>
          <w:i/>
        </w:rPr>
      </w:pPr>
      <w:r>
        <w:t xml:space="preserve">Since 2000, the extensive distribution of </w:t>
      </w:r>
      <w:r w:rsidRPr="006029C3">
        <w:rPr>
          <w:i/>
        </w:rPr>
        <w:t>T. murphyi</w:t>
      </w:r>
      <w:r>
        <w:t xml:space="preserve"> has decreased and</w:t>
      </w:r>
      <w:r w:rsidR="00A84C22">
        <w:t xml:space="preserve"> although still </w:t>
      </w:r>
      <w:r w:rsidR="00B00FC6">
        <w:t>the dominant species in JMA 3</w:t>
      </w:r>
      <w:r w:rsidR="00682345">
        <w:t>,</w:t>
      </w:r>
      <w:r>
        <w:t xml:space="preserve"> it is far less abundant tha</w:t>
      </w:r>
      <w:r w:rsidR="00682345">
        <w:t>n</w:t>
      </w:r>
      <w:r>
        <w:t xml:space="preserve"> it was during the 1990s. The primary rationale for reduc</w:t>
      </w:r>
      <w:r w:rsidR="00682345">
        <w:t>ing</w:t>
      </w:r>
      <w:r>
        <w:t xml:space="preserve"> the </w:t>
      </w:r>
      <w:r w:rsidR="00367A7A">
        <w:t>catch limit</w:t>
      </w:r>
      <w:r>
        <w:t xml:space="preserve"> for </w:t>
      </w:r>
      <w:r w:rsidR="005B097B">
        <w:t>JMA 3</w:t>
      </w:r>
      <w:r>
        <w:t xml:space="preserve"> is that the current catch limit is no longer appropriate due to </w:t>
      </w:r>
      <w:r w:rsidR="00795E94">
        <w:t>a sustained period of</w:t>
      </w:r>
      <w:r w:rsidR="00A84C22">
        <w:t xml:space="preserve"> </w:t>
      </w:r>
      <w:r>
        <w:t xml:space="preserve">decreased abundance of </w:t>
      </w:r>
      <w:r w:rsidRPr="006029C3">
        <w:rPr>
          <w:i/>
        </w:rPr>
        <w:t>T. murphyi</w:t>
      </w:r>
      <w:r>
        <w:rPr>
          <w:i/>
        </w:rPr>
        <w:t xml:space="preserve">. </w:t>
      </w:r>
    </w:p>
    <w:p w14:paraId="529454A0" w14:textId="77777777" w:rsidR="00C743B6" w:rsidRDefault="00C743B6" w:rsidP="00471C3D">
      <w:pPr>
        <w:rPr>
          <w:i/>
        </w:rPr>
      </w:pPr>
    </w:p>
    <w:p w14:paraId="1F7F5EDC" w14:textId="35710166" w:rsidR="00A84C22" w:rsidRDefault="00A84C22" w:rsidP="00471C3D">
      <w:r>
        <w:t xml:space="preserve">Table 1 sets out MPI’s initial proposals for catch limits and allowances for </w:t>
      </w:r>
      <w:r w:rsidR="005B097B">
        <w:t>JMA 3</w:t>
      </w:r>
      <w:r>
        <w:t>.</w:t>
      </w:r>
    </w:p>
    <w:p w14:paraId="7466E480" w14:textId="77777777" w:rsidR="00A84C22" w:rsidRDefault="00A84C22" w:rsidP="00471C3D"/>
    <w:p w14:paraId="2AD18666" w14:textId="0E107D57" w:rsidR="00225C99" w:rsidRPr="004741D6" w:rsidRDefault="00225C99" w:rsidP="00E05688">
      <w:pPr>
        <w:pBdr>
          <w:left w:val="single" w:sz="4" w:space="4" w:color="auto"/>
        </w:pBdr>
        <w:rPr>
          <w:rFonts w:ascii="Arial Narrow" w:hAnsi="Arial Narrow"/>
          <w:b/>
        </w:rPr>
      </w:pPr>
      <w:r w:rsidRPr="004741D6">
        <w:rPr>
          <w:rFonts w:ascii="Arial Narrow" w:hAnsi="Arial Narrow"/>
          <w:b/>
        </w:rPr>
        <w:t xml:space="preserve">Table 1. Proposed TACs, TACCs and allowances for </w:t>
      </w:r>
      <w:r w:rsidR="005B097B">
        <w:rPr>
          <w:rFonts w:ascii="Arial Narrow" w:hAnsi="Arial Narrow"/>
          <w:b/>
        </w:rPr>
        <w:t>JMA 3</w:t>
      </w:r>
      <w:r w:rsidR="0018536A">
        <w:rPr>
          <w:rFonts w:ascii="Arial Narrow" w:hAnsi="Arial Narrow"/>
          <w:b/>
        </w:rPr>
        <w:t xml:space="preserve"> (all </w:t>
      </w:r>
      <w:r w:rsidR="00E05688">
        <w:rPr>
          <w:rFonts w:ascii="Arial Narrow" w:hAnsi="Arial Narrow"/>
          <w:b/>
        </w:rPr>
        <w:t>values</w:t>
      </w:r>
      <w:r w:rsidR="0018536A">
        <w:rPr>
          <w:rFonts w:ascii="Arial Narrow" w:hAnsi="Arial Narrow"/>
          <w:b/>
        </w:rPr>
        <w:t xml:space="preserve"> in tonnes)</w:t>
      </w:r>
    </w:p>
    <w:tbl>
      <w:tblPr>
        <w:tblpPr w:leftFromText="180" w:rightFromText="180" w:vertAnchor="text" w:horzAnchor="margin" w:tblpY="96"/>
        <w:tblW w:w="5000" w:type="pct"/>
        <w:tblLook w:val="00A0" w:firstRow="1" w:lastRow="0" w:firstColumn="1" w:lastColumn="0" w:noHBand="0" w:noVBand="0"/>
      </w:tblPr>
      <w:tblGrid>
        <w:gridCol w:w="2178"/>
        <w:gridCol w:w="833"/>
        <w:gridCol w:w="546"/>
        <w:gridCol w:w="423"/>
        <w:gridCol w:w="1799"/>
        <w:gridCol w:w="1201"/>
        <w:gridCol w:w="2090"/>
      </w:tblGrid>
      <w:tr w:rsidR="0018536A" w:rsidRPr="0029325B" w14:paraId="47C44244" w14:textId="77777777" w:rsidTr="00E05688">
        <w:trPr>
          <w:trHeight w:val="20"/>
        </w:trPr>
        <w:tc>
          <w:tcPr>
            <w:tcW w:w="1201" w:type="pct"/>
            <w:tcBorders>
              <w:top w:val="single" w:sz="4" w:space="0" w:color="auto"/>
            </w:tcBorders>
            <w:vAlign w:val="center"/>
          </w:tcPr>
          <w:p w14:paraId="431DCDBF" w14:textId="1CC1E865" w:rsidR="0018536A" w:rsidRPr="0029325B" w:rsidRDefault="0018536A" w:rsidP="000F4CDF">
            <w:pPr>
              <w:pStyle w:val="FAPHeadingThree"/>
              <w:jc w:val="left"/>
              <w:rPr>
                <w:rFonts w:ascii="Arial Narrow" w:hAnsi="Arial Narrow" w:cs="Times New Roman"/>
                <w:b/>
                <w:i w:val="0"/>
                <w:sz w:val="20"/>
                <w:szCs w:val="20"/>
                <w:u w:val="none"/>
              </w:rPr>
            </w:pPr>
          </w:p>
        </w:tc>
        <w:tc>
          <w:tcPr>
            <w:tcW w:w="760" w:type="pct"/>
            <w:gridSpan w:val="2"/>
            <w:tcBorders>
              <w:top w:val="single" w:sz="4" w:space="0" w:color="auto"/>
            </w:tcBorders>
            <w:vAlign w:val="center"/>
          </w:tcPr>
          <w:p w14:paraId="7DDD4443" w14:textId="2044688A" w:rsidR="0018536A" w:rsidRPr="0029325B" w:rsidRDefault="0018536A" w:rsidP="000F4CDF">
            <w:pPr>
              <w:pStyle w:val="FAPHeadingThree"/>
              <w:jc w:val="center"/>
              <w:rPr>
                <w:rFonts w:ascii="Arial Narrow" w:hAnsi="Arial Narrow" w:cs="Times New Roman"/>
                <w:b/>
                <w:i w:val="0"/>
                <w:sz w:val="20"/>
                <w:szCs w:val="20"/>
                <w:u w:val="none"/>
              </w:rPr>
            </w:pPr>
          </w:p>
        </w:tc>
        <w:tc>
          <w:tcPr>
            <w:tcW w:w="233" w:type="pct"/>
            <w:tcBorders>
              <w:top w:val="single" w:sz="4" w:space="0" w:color="auto"/>
              <w:right w:val="single" w:sz="4" w:space="0" w:color="auto"/>
            </w:tcBorders>
            <w:vAlign w:val="center"/>
          </w:tcPr>
          <w:p w14:paraId="23A4F6BB" w14:textId="008569DD" w:rsidR="0018536A" w:rsidRPr="0029325B" w:rsidRDefault="0018536A" w:rsidP="000F4CDF">
            <w:pPr>
              <w:pStyle w:val="FAPHeadingThree"/>
              <w:jc w:val="center"/>
              <w:rPr>
                <w:rFonts w:ascii="Arial Narrow" w:hAnsi="Arial Narrow" w:cs="Times New Roman"/>
                <w:b/>
                <w:i w:val="0"/>
                <w:sz w:val="20"/>
                <w:szCs w:val="20"/>
                <w:u w:val="none"/>
              </w:rPr>
            </w:pPr>
          </w:p>
        </w:tc>
        <w:tc>
          <w:tcPr>
            <w:tcW w:w="2807" w:type="pct"/>
            <w:gridSpan w:val="3"/>
            <w:tcBorders>
              <w:top w:val="single" w:sz="4" w:space="0" w:color="auto"/>
              <w:left w:val="single" w:sz="4" w:space="0" w:color="auto"/>
              <w:bottom w:val="single" w:sz="4" w:space="0" w:color="auto"/>
            </w:tcBorders>
            <w:vAlign w:val="center"/>
          </w:tcPr>
          <w:p w14:paraId="696AF84B" w14:textId="193AF4D1" w:rsidR="0018536A" w:rsidRPr="0029325B" w:rsidRDefault="0018536A" w:rsidP="000F4CDF">
            <w:pPr>
              <w:pStyle w:val="FAPHeadingThree"/>
              <w:jc w:val="center"/>
              <w:rPr>
                <w:rFonts w:ascii="Arial Narrow" w:hAnsi="Arial Narrow" w:cs="Times New Roman"/>
                <w:b/>
                <w:i w:val="0"/>
                <w:sz w:val="20"/>
                <w:szCs w:val="20"/>
                <w:u w:val="none"/>
              </w:rPr>
            </w:pPr>
            <w:r>
              <w:rPr>
                <w:rFonts w:ascii="Arial Narrow" w:hAnsi="Arial Narrow" w:cs="Times New Roman"/>
                <w:b/>
                <w:i w:val="0"/>
                <w:sz w:val="20"/>
                <w:szCs w:val="20"/>
                <w:u w:val="none"/>
              </w:rPr>
              <w:t>Allowances</w:t>
            </w:r>
          </w:p>
        </w:tc>
      </w:tr>
      <w:tr w:rsidR="0018536A" w:rsidRPr="0029325B" w14:paraId="683CC086" w14:textId="77777777" w:rsidTr="0018536A">
        <w:trPr>
          <w:trHeight w:val="20"/>
        </w:trPr>
        <w:tc>
          <w:tcPr>
            <w:tcW w:w="1201" w:type="pct"/>
            <w:tcBorders>
              <w:bottom w:val="single" w:sz="4" w:space="0" w:color="auto"/>
            </w:tcBorders>
            <w:vAlign w:val="center"/>
          </w:tcPr>
          <w:p w14:paraId="4F2F0F8E" w14:textId="3ACB1A6F" w:rsidR="0018536A" w:rsidRPr="0029325B" w:rsidRDefault="0018536A" w:rsidP="000F4CDF">
            <w:pPr>
              <w:pStyle w:val="FAPHeadingThree"/>
              <w:jc w:val="left"/>
              <w:rPr>
                <w:rFonts w:ascii="Arial Narrow" w:hAnsi="Arial Narrow" w:cs="Times New Roman"/>
                <w:b/>
                <w:i w:val="0"/>
                <w:sz w:val="20"/>
                <w:szCs w:val="20"/>
                <w:u w:val="none"/>
              </w:rPr>
            </w:pPr>
            <w:r>
              <w:rPr>
                <w:rFonts w:ascii="Arial Narrow" w:hAnsi="Arial Narrow" w:cs="Times New Roman"/>
                <w:b/>
                <w:i w:val="0"/>
                <w:sz w:val="20"/>
                <w:szCs w:val="20"/>
                <w:u w:val="none"/>
              </w:rPr>
              <w:t>Option</w:t>
            </w:r>
          </w:p>
        </w:tc>
        <w:tc>
          <w:tcPr>
            <w:tcW w:w="459" w:type="pct"/>
            <w:tcBorders>
              <w:bottom w:val="single" w:sz="4" w:space="0" w:color="auto"/>
            </w:tcBorders>
            <w:vAlign w:val="center"/>
          </w:tcPr>
          <w:p w14:paraId="5B74A728" w14:textId="6D1E7CD6" w:rsidR="0018536A" w:rsidRPr="0029325B" w:rsidRDefault="0018536A" w:rsidP="0018536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 </w:t>
            </w:r>
          </w:p>
        </w:tc>
        <w:tc>
          <w:tcPr>
            <w:tcW w:w="534" w:type="pct"/>
            <w:gridSpan w:val="2"/>
            <w:tcBorders>
              <w:bottom w:val="single" w:sz="4" w:space="0" w:color="auto"/>
            </w:tcBorders>
            <w:vAlign w:val="center"/>
          </w:tcPr>
          <w:p w14:paraId="253D8AF1" w14:textId="1F2179D1" w:rsidR="0018536A" w:rsidRPr="0029325B" w:rsidRDefault="0018536A" w:rsidP="0018536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TACC </w:t>
            </w:r>
          </w:p>
        </w:tc>
        <w:tc>
          <w:tcPr>
            <w:tcW w:w="992" w:type="pct"/>
            <w:tcBorders>
              <w:top w:val="single" w:sz="4" w:space="0" w:color="auto"/>
              <w:bottom w:val="single" w:sz="4" w:space="0" w:color="auto"/>
            </w:tcBorders>
            <w:vAlign w:val="center"/>
          </w:tcPr>
          <w:p w14:paraId="4507F81F" w14:textId="642D9B69" w:rsidR="0018536A" w:rsidRPr="0029325B" w:rsidRDefault="0018536A" w:rsidP="0018536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Customary Māori </w:t>
            </w:r>
          </w:p>
        </w:tc>
        <w:tc>
          <w:tcPr>
            <w:tcW w:w="662" w:type="pct"/>
            <w:tcBorders>
              <w:top w:val="single" w:sz="4" w:space="0" w:color="auto"/>
              <w:bottom w:val="single" w:sz="4" w:space="0" w:color="auto"/>
            </w:tcBorders>
            <w:vAlign w:val="center"/>
          </w:tcPr>
          <w:p w14:paraId="5DC69C6B" w14:textId="67CF2ADC" w:rsidR="0018536A" w:rsidRPr="0029325B" w:rsidRDefault="0018536A" w:rsidP="0018536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Recreational </w:t>
            </w:r>
          </w:p>
        </w:tc>
        <w:tc>
          <w:tcPr>
            <w:tcW w:w="1152" w:type="pct"/>
            <w:tcBorders>
              <w:top w:val="single" w:sz="4" w:space="0" w:color="auto"/>
              <w:bottom w:val="single" w:sz="4" w:space="0" w:color="auto"/>
            </w:tcBorders>
            <w:vAlign w:val="center"/>
          </w:tcPr>
          <w:p w14:paraId="276BA8F0" w14:textId="2FCF2FFA" w:rsidR="0018536A" w:rsidRPr="0029325B" w:rsidRDefault="0018536A" w:rsidP="0018536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Other sources of fishing-related mortality</w:t>
            </w:r>
          </w:p>
        </w:tc>
      </w:tr>
      <w:tr w:rsidR="00225C99" w14:paraId="7CA2F0DC" w14:textId="77777777" w:rsidTr="00BD2C9E">
        <w:trPr>
          <w:trHeight w:val="20"/>
        </w:trPr>
        <w:tc>
          <w:tcPr>
            <w:tcW w:w="1201" w:type="pct"/>
            <w:tcBorders>
              <w:bottom w:val="single" w:sz="4" w:space="0" w:color="auto"/>
            </w:tcBorders>
            <w:vAlign w:val="center"/>
          </w:tcPr>
          <w:p w14:paraId="7DB2BD80" w14:textId="77777777" w:rsidR="00225C99" w:rsidRPr="0029325B" w:rsidRDefault="00225C99"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Current Settings</w:t>
            </w:r>
          </w:p>
        </w:tc>
        <w:tc>
          <w:tcPr>
            <w:tcW w:w="459" w:type="pct"/>
            <w:tcBorders>
              <w:top w:val="single" w:sz="4" w:space="0" w:color="auto"/>
              <w:bottom w:val="single" w:sz="4" w:space="0" w:color="auto"/>
            </w:tcBorders>
            <w:vAlign w:val="center"/>
          </w:tcPr>
          <w:p w14:paraId="4D1CDC1F" w14:textId="77777777" w:rsidR="00225C99" w:rsidRDefault="00225C99"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c>
          <w:tcPr>
            <w:tcW w:w="534" w:type="pct"/>
            <w:gridSpan w:val="2"/>
            <w:tcBorders>
              <w:top w:val="single" w:sz="4" w:space="0" w:color="auto"/>
              <w:bottom w:val="single" w:sz="4" w:space="0" w:color="auto"/>
            </w:tcBorders>
            <w:vAlign w:val="center"/>
          </w:tcPr>
          <w:p w14:paraId="67357E94" w14:textId="77777777" w:rsidR="00225C99" w:rsidRDefault="00225C99"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18,000</w:t>
            </w:r>
          </w:p>
        </w:tc>
        <w:tc>
          <w:tcPr>
            <w:tcW w:w="992" w:type="pct"/>
            <w:tcBorders>
              <w:top w:val="single" w:sz="4" w:space="0" w:color="auto"/>
              <w:bottom w:val="single" w:sz="4" w:space="0" w:color="auto"/>
            </w:tcBorders>
            <w:vAlign w:val="center"/>
          </w:tcPr>
          <w:p w14:paraId="0A45F47F" w14:textId="77777777" w:rsidR="00225C99" w:rsidRDefault="00225C99"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c>
          <w:tcPr>
            <w:tcW w:w="662" w:type="pct"/>
            <w:tcBorders>
              <w:top w:val="single" w:sz="4" w:space="0" w:color="auto"/>
              <w:bottom w:val="single" w:sz="4" w:space="0" w:color="auto"/>
            </w:tcBorders>
            <w:vAlign w:val="center"/>
          </w:tcPr>
          <w:p w14:paraId="38C161DC" w14:textId="77777777" w:rsidR="00225C99" w:rsidRDefault="00225C99"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c>
          <w:tcPr>
            <w:tcW w:w="1152" w:type="pct"/>
            <w:tcBorders>
              <w:top w:val="single" w:sz="4" w:space="0" w:color="auto"/>
              <w:bottom w:val="single" w:sz="4" w:space="0" w:color="auto"/>
            </w:tcBorders>
            <w:vAlign w:val="center"/>
          </w:tcPr>
          <w:p w14:paraId="6DD417D3" w14:textId="77777777" w:rsidR="00225C99" w:rsidRDefault="00225C99"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r>
      <w:tr w:rsidR="00BD2C9E" w14:paraId="565A751D" w14:textId="77777777" w:rsidTr="00BD2C9E">
        <w:trPr>
          <w:trHeight w:val="20"/>
        </w:trPr>
        <w:tc>
          <w:tcPr>
            <w:tcW w:w="1201" w:type="pct"/>
            <w:tcBorders>
              <w:top w:val="single" w:sz="4" w:space="0" w:color="auto"/>
            </w:tcBorders>
            <w:vAlign w:val="center"/>
          </w:tcPr>
          <w:p w14:paraId="1A6DAE67" w14:textId="7E93682A" w:rsidR="00BD2C9E" w:rsidRPr="00E05688" w:rsidRDefault="00BD2C9E" w:rsidP="00BD2C9E">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1</w:t>
            </w:r>
          </w:p>
        </w:tc>
        <w:tc>
          <w:tcPr>
            <w:tcW w:w="459" w:type="pct"/>
            <w:tcBorders>
              <w:top w:val="single" w:sz="4" w:space="0" w:color="auto"/>
            </w:tcBorders>
            <w:vAlign w:val="center"/>
          </w:tcPr>
          <w:p w14:paraId="7CC875F6" w14:textId="78100479" w:rsidR="00BD2C9E" w:rsidRPr="009E7B0C" w:rsidRDefault="00BD2C9E" w:rsidP="00BD2C9E">
            <w:pPr>
              <w:pStyle w:val="FAPHeadingThree"/>
              <w:jc w:val="right"/>
              <w:rPr>
                <w:rFonts w:ascii="Arial Narrow" w:hAnsi="Arial Narrow" w:cs="Times New Roman"/>
                <w:i w:val="0"/>
                <w:sz w:val="20"/>
                <w:szCs w:val="20"/>
                <w:u w:val="none"/>
              </w:rPr>
            </w:pPr>
            <w:r w:rsidRPr="009E7B0C">
              <w:rPr>
                <w:rFonts w:ascii="Arial Narrow" w:hAnsi="Arial Narrow" w:cs="Times New Roman"/>
                <w:i w:val="0"/>
                <w:sz w:val="20"/>
                <w:szCs w:val="20"/>
                <w:u w:val="none"/>
              </w:rPr>
              <w:t>18,000</w:t>
            </w:r>
          </w:p>
        </w:tc>
        <w:tc>
          <w:tcPr>
            <w:tcW w:w="534" w:type="pct"/>
            <w:gridSpan w:val="2"/>
            <w:tcBorders>
              <w:top w:val="single" w:sz="4" w:space="0" w:color="auto"/>
            </w:tcBorders>
            <w:vAlign w:val="center"/>
          </w:tcPr>
          <w:p w14:paraId="316268B0" w14:textId="45829C48" w:rsidR="00BD2C9E" w:rsidRPr="009E7B0C" w:rsidRDefault="00965DA1" w:rsidP="00BD2C9E">
            <w:pPr>
              <w:pStyle w:val="FAPHeadingThree"/>
              <w:jc w:val="right"/>
              <w:rPr>
                <w:rFonts w:ascii="Arial Narrow" w:hAnsi="Arial Narrow" w:cs="Times New Roman"/>
                <w:i w:val="0"/>
                <w:sz w:val="20"/>
                <w:szCs w:val="20"/>
                <w:u w:val="none"/>
              </w:rPr>
            </w:pPr>
            <w:r w:rsidRPr="009E7B0C">
              <w:rPr>
                <w:rFonts w:ascii="Arial Narrow" w:hAnsi="Arial Narrow" w:cs="Times New Roman"/>
                <w:i w:val="0"/>
                <w:sz w:val="20"/>
                <w:szCs w:val="20"/>
                <w:u w:val="none"/>
              </w:rPr>
              <w:t>17,610</w:t>
            </w:r>
          </w:p>
        </w:tc>
        <w:tc>
          <w:tcPr>
            <w:tcW w:w="992" w:type="pct"/>
            <w:tcBorders>
              <w:top w:val="single" w:sz="4" w:space="0" w:color="auto"/>
            </w:tcBorders>
            <w:vAlign w:val="center"/>
          </w:tcPr>
          <w:p w14:paraId="2756E767" w14:textId="1988817B" w:rsidR="00BD2C9E" w:rsidRPr="009E7B0C" w:rsidRDefault="00BD2C9E" w:rsidP="00BD2C9E">
            <w:pPr>
              <w:pStyle w:val="FAPHeadingThree"/>
              <w:jc w:val="right"/>
              <w:rPr>
                <w:rFonts w:ascii="Arial Narrow" w:hAnsi="Arial Narrow" w:cs="Times New Roman"/>
                <w:i w:val="0"/>
                <w:sz w:val="20"/>
                <w:szCs w:val="20"/>
                <w:u w:val="none"/>
              </w:rPr>
            </w:pPr>
            <w:r w:rsidRPr="009E7B0C">
              <w:rPr>
                <w:rFonts w:ascii="Arial Narrow" w:hAnsi="Arial Narrow" w:cs="Times New Roman"/>
                <w:i w:val="0"/>
                <w:sz w:val="20"/>
                <w:szCs w:val="20"/>
                <w:u w:val="none"/>
              </w:rPr>
              <w:t>20</w:t>
            </w:r>
          </w:p>
        </w:tc>
        <w:tc>
          <w:tcPr>
            <w:tcW w:w="662" w:type="pct"/>
            <w:tcBorders>
              <w:top w:val="single" w:sz="4" w:space="0" w:color="auto"/>
            </w:tcBorders>
            <w:vAlign w:val="center"/>
          </w:tcPr>
          <w:p w14:paraId="4BF82E7D" w14:textId="24DC1856" w:rsidR="00BD2C9E" w:rsidRPr="009E7B0C" w:rsidRDefault="00BD2C9E" w:rsidP="00BD2C9E">
            <w:pPr>
              <w:pStyle w:val="FAPHeadingThree"/>
              <w:jc w:val="right"/>
              <w:rPr>
                <w:rFonts w:ascii="Arial Narrow" w:hAnsi="Arial Narrow" w:cs="Times New Roman"/>
                <w:i w:val="0"/>
                <w:sz w:val="20"/>
                <w:szCs w:val="20"/>
                <w:u w:val="none"/>
              </w:rPr>
            </w:pPr>
            <w:r w:rsidRPr="009E7B0C">
              <w:rPr>
                <w:rFonts w:ascii="Arial Narrow" w:hAnsi="Arial Narrow" w:cs="Times New Roman"/>
                <w:i w:val="0"/>
                <w:sz w:val="20"/>
                <w:szCs w:val="20"/>
                <w:u w:val="none"/>
              </w:rPr>
              <w:t>20</w:t>
            </w:r>
          </w:p>
        </w:tc>
        <w:tc>
          <w:tcPr>
            <w:tcW w:w="1152" w:type="pct"/>
            <w:tcBorders>
              <w:top w:val="single" w:sz="4" w:space="0" w:color="auto"/>
            </w:tcBorders>
            <w:vAlign w:val="center"/>
          </w:tcPr>
          <w:p w14:paraId="0B1C439C" w14:textId="3EB24E1F" w:rsidR="00BD2C9E" w:rsidRPr="009E7B0C" w:rsidRDefault="00965DA1" w:rsidP="00BD2C9E">
            <w:pPr>
              <w:pStyle w:val="FAPHeadingThree"/>
              <w:jc w:val="right"/>
              <w:rPr>
                <w:rFonts w:ascii="Arial Narrow" w:hAnsi="Arial Narrow" w:cs="Times New Roman"/>
                <w:i w:val="0"/>
                <w:sz w:val="20"/>
                <w:szCs w:val="20"/>
                <w:u w:val="none"/>
              </w:rPr>
            </w:pPr>
            <w:r w:rsidRPr="009E7B0C">
              <w:rPr>
                <w:rFonts w:ascii="Arial Narrow" w:hAnsi="Arial Narrow" w:cs="Times New Roman"/>
                <w:i w:val="0"/>
                <w:sz w:val="20"/>
                <w:szCs w:val="20"/>
                <w:u w:val="none"/>
              </w:rPr>
              <w:t>350</w:t>
            </w:r>
          </w:p>
        </w:tc>
      </w:tr>
      <w:tr w:rsidR="00225C99" w:rsidRPr="00B26154" w14:paraId="730B35BB" w14:textId="77777777" w:rsidTr="00BD2C9E">
        <w:trPr>
          <w:trHeight w:val="283"/>
        </w:trPr>
        <w:tc>
          <w:tcPr>
            <w:tcW w:w="1201" w:type="pct"/>
            <w:vAlign w:val="center"/>
          </w:tcPr>
          <w:p w14:paraId="11FF27D4" w14:textId="5DDCBF2B" w:rsidR="00225C99" w:rsidRPr="00E05688" w:rsidRDefault="00BD2C9E"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2</w:t>
            </w:r>
          </w:p>
        </w:tc>
        <w:tc>
          <w:tcPr>
            <w:tcW w:w="459" w:type="pct"/>
            <w:vAlign w:val="center"/>
          </w:tcPr>
          <w:p w14:paraId="04A7A5E5" w14:textId="77777777" w:rsidR="00225C99" w:rsidRPr="00B26154" w:rsidRDefault="00225C99"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9,000</w:t>
            </w:r>
          </w:p>
        </w:tc>
        <w:tc>
          <w:tcPr>
            <w:tcW w:w="534" w:type="pct"/>
            <w:gridSpan w:val="2"/>
            <w:vAlign w:val="center"/>
          </w:tcPr>
          <w:p w14:paraId="2E93E64F" w14:textId="77777777" w:rsidR="00225C99" w:rsidRPr="00B26154" w:rsidRDefault="00225C99"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8,780</w:t>
            </w:r>
          </w:p>
        </w:tc>
        <w:tc>
          <w:tcPr>
            <w:tcW w:w="992" w:type="pct"/>
            <w:vAlign w:val="center"/>
          </w:tcPr>
          <w:p w14:paraId="7AF72D4D" w14:textId="77777777" w:rsidR="00225C99" w:rsidRPr="00B26154" w:rsidRDefault="00225C99"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20</w:t>
            </w:r>
          </w:p>
        </w:tc>
        <w:tc>
          <w:tcPr>
            <w:tcW w:w="662" w:type="pct"/>
            <w:vAlign w:val="center"/>
          </w:tcPr>
          <w:p w14:paraId="7791E38C" w14:textId="77777777" w:rsidR="00225C99" w:rsidRPr="00B26154" w:rsidRDefault="00225C99"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20</w:t>
            </w:r>
          </w:p>
        </w:tc>
        <w:tc>
          <w:tcPr>
            <w:tcW w:w="1152" w:type="pct"/>
            <w:vAlign w:val="center"/>
          </w:tcPr>
          <w:p w14:paraId="32D36660" w14:textId="77777777" w:rsidR="00225C99" w:rsidRPr="00B26154" w:rsidRDefault="00225C99"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180</w:t>
            </w:r>
          </w:p>
        </w:tc>
      </w:tr>
      <w:tr w:rsidR="00225C99" w:rsidRPr="00EC419B" w14:paraId="565994A7" w14:textId="77777777" w:rsidTr="0018536A">
        <w:trPr>
          <w:trHeight w:val="283"/>
        </w:trPr>
        <w:tc>
          <w:tcPr>
            <w:tcW w:w="1201" w:type="pct"/>
            <w:vAlign w:val="center"/>
          </w:tcPr>
          <w:p w14:paraId="1019445E" w14:textId="7A91F6CB" w:rsidR="00225C99" w:rsidRPr="00E05688" w:rsidRDefault="00BD2C9E"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3</w:t>
            </w:r>
          </w:p>
        </w:tc>
        <w:tc>
          <w:tcPr>
            <w:tcW w:w="459" w:type="pct"/>
            <w:vAlign w:val="center"/>
          </w:tcPr>
          <w:p w14:paraId="34608053"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7,500</w:t>
            </w:r>
          </w:p>
        </w:tc>
        <w:tc>
          <w:tcPr>
            <w:tcW w:w="534" w:type="pct"/>
            <w:gridSpan w:val="2"/>
            <w:vAlign w:val="center"/>
          </w:tcPr>
          <w:p w14:paraId="7527B023"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7,310</w:t>
            </w:r>
          </w:p>
        </w:tc>
        <w:tc>
          <w:tcPr>
            <w:tcW w:w="992" w:type="pct"/>
            <w:vAlign w:val="center"/>
          </w:tcPr>
          <w:p w14:paraId="0E9D3391"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20</w:t>
            </w:r>
          </w:p>
        </w:tc>
        <w:tc>
          <w:tcPr>
            <w:tcW w:w="662" w:type="pct"/>
            <w:vAlign w:val="center"/>
          </w:tcPr>
          <w:p w14:paraId="3FCFF71A"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20</w:t>
            </w:r>
          </w:p>
        </w:tc>
        <w:tc>
          <w:tcPr>
            <w:tcW w:w="1152" w:type="pct"/>
            <w:vAlign w:val="center"/>
          </w:tcPr>
          <w:p w14:paraId="2847677B"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150</w:t>
            </w:r>
          </w:p>
        </w:tc>
      </w:tr>
      <w:tr w:rsidR="00225C99" w:rsidRPr="00EC419B" w14:paraId="0977F515" w14:textId="77777777" w:rsidTr="0018536A">
        <w:trPr>
          <w:trHeight w:val="283"/>
        </w:trPr>
        <w:tc>
          <w:tcPr>
            <w:tcW w:w="1201" w:type="pct"/>
            <w:tcBorders>
              <w:bottom w:val="single" w:sz="4" w:space="0" w:color="auto"/>
            </w:tcBorders>
            <w:vAlign w:val="center"/>
          </w:tcPr>
          <w:p w14:paraId="45A8A2A2" w14:textId="763C3392" w:rsidR="00225C99" w:rsidRPr="00E05688" w:rsidRDefault="00225C99"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 xml:space="preserve">Option </w:t>
            </w:r>
            <w:r w:rsidR="00BD2C9E" w:rsidRPr="00E05688">
              <w:rPr>
                <w:rFonts w:ascii="Arial Narrow" w:hAnsi="Arial Narrow" w:cs="Times New Roman"/>
                <w:b/>
                <w:i w:val="0"/>
                <w:sz w:val="20"/>
                <w:szCs w:val="20"/>
                <w:u w:val="none"/>
              </w:rPr>
              <w:t>4</w:t>
            </w:r>
          </w:p>
        </w:tc>
        <w:tc>
          <w:tcPr>
            <w:tcW w:w="459" w:type="pct"/>
            <w:tcBorders>
              <w:bottom w:val="single" w:sz="4" w:space="0" w:color="auto"/>
            </w:tcBorders>
            <w:vAlign w:val="center"/>
          </w:tcPr>
          <w:p w14:paraId="71740421"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6,000</w:t>
            </w:r>
          </w:p>
        </w:tc>
        <w:tc>
          <w:tcPr>
            <w:tcW w:w="534" w:type="pct"/>
            <w:gridSpan w:val="2"/>
            <w:tcBorders>
              <w:bottom w:val="single" w:sz="4" w:space="0" w:color="auto"/>
            </w:tcBorders>
            <w:vAlign w:val="center"/>
          </w:tcPr>
          <w:p w14:paraId="0ACF59AE"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5,840</w:t>
            </w:r>
          </w:p>
        </w:tc>
        <w:tc>
          <w:tcPr>
            <w:tcW w:w="992" w:type="pct"/>
            <w:tcBorders>
              <w:bottom w:val="single" w:sz="4" w:space="0" w:color="auto"/>
            </w:tcBorders>
            <w:vAlign w:val="center"/>
          </w:tcPr>
          <w:p w14:paraId="4FB02D12"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20</w:t>
            </w:r>
          </w:p>
        </w:tc>
        <w:tc>
          <w:tcPr>
            <w:tcW w:w="662" w:type="pct"/>
            <w:tcBorders>
              <w:bottom w:val="single" w:sz="4" w:space="0" w:color="auto"/>
            </w:tcBorders>
            <w:vAlign w:val="center"/>
          </w:tcPr>
          <w:p w14:paraId="34BDE29B"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20</w:t>
            </w:r>
          </w:p>
        </w:tc>
        <w:tc>
          <w:tcPr>
            <w:tcW w:w="1152" w:type="pct"/>
            <w:tcBorders>
              <w:bottom w:val="single" w:sz="4" w:space="0" w:color="auto"/>
            </w:tcBorders>
            <w:vAlign w:val="center"/>
          </w:tcPr>
          <w:p w14:paraId="73AB30B1" w14:textId="77777777" w:rsidR="00225C99" w:rsidRPr="00EC419B" w:rsidRDefault="00225C99" w:rsidP="000F4CDF">
            <w:pPr>
              <w:jc w:val="right"/>
              <w:rPr>
                <w:rFonts w:ascii="Arial Narrow" w:hAnsi="Arial Narrow" w:cs="Arial"/>
                <w:sz w:val="20"/>
                <w:szCs w:val="22"/>
              </w:rPr>
            </w:pPr>
            <w:r>
              <w:rPr>
                <w:rFonts w:ascii="Arial Narrow" w:hAnsi="Arial Narrow" w:cs="Arial"/>
                <w:sz w:val="20"/>
                <w:szCs w:val="22"/>
              </w:rPr>
              <w:t>120</w:t>
            </w:r>
          </w:p>
        </w:tc>
      </w:tr>
    </w:tbl>
    <w:p w14:paraId="71D45CB4" w14:textId="77777777" w:rsidR="00A84C22" w:rsidRPr="00A84C22" w:rsidRDefault="00A84C22" w:rsidP="00471C3D"/>
    <w:p w14:paraId="7AF55D33" w14:textId="2792C08E" w:rsidR="00471C3D" w:rsidRDefault="00A27A60" w:rsidP="00471C3D">
      <w:r>
        <w:lastRenderedPageBreak/>
        <w:t>Current c</w:t>
      </w:r>
      <w:r w:rsidR="008B6C6E">
        <w:t xml:space="preserve">atch limits for </w:t>
      </w:r>
      <w:r w:rsidR="005B097B">
        <w:t>JMA 3</w:t>
      </w:r>
      <w:r w:rsidR="008B6C6E">
        <w:t xml:space="preserve"> consist solely of a TACC; a TAC or allowances have never been set.</w:t>
      </w:r>
      <w:r w:rsidR="005D6337">
        <w:t xml:space="preserve"> </w:t>
      </w:r>
      <w:r w:rsidR="005D6337" w:rsidRPr="009E7B0C">
        <w:t xml:space="preserve">For all options MPI proposes </w:t>
      </w:r>
      <w:r w:rsidR="00E04FC1" w:rsidRPr="009E7B0C">
        <w:t>setting a TAC</w:t>
      </w:r>
      <w:r w:rsidR="00E04FC1">
        <w:t xml:space="preserve"> with </w:t>
      </w:r>
      <w:r w:rsidR="005D6337">
        <w:t xml:space="preserve">20 tonne allowances for </w:t>
      </w:r>
      <w:r w:rsidR="00E04FC1">
        <w:t xml:space="preserve">both </w:t>
      </w:r>
      <w:r w:rsidR="005D6337">
        <w:t xml:space="preserve">customary </w:t>
      </w:r>
      <w:r w:rsidR="000F4CDF">
        <w:t>Māori</w:t>
      </w:r>
      <w:r w:rsidR="005D6337">
        <w:t xml:space="preserve"> and recreational fisheries</w:t>
      </w:r>
      <w:r w:rsidR="00E04FC1">
        <w:t>,</w:t>
      </w:r>
      <w:r w:rsidR="005D6337">
        <w:t xml:space="preserve"> together with an allowance for other sources of fishing related mortality equivalent to 2% of the TACC.</w:t>
      </w:r>
    </w:p>
    <w:p w14:paraId="18B5360B" w14:textId="77777777" w:rsidR="00434883" w:rsidRDefault="00434883" w:rsidP="00471C3D"/>
    <w:p w14:paraId="32055874" w14:textId="77777777" w:rsidR="00471C3D" w:rsidRDefault="00471C3D" w:rsidP="00471C3D">
      <w:pPr>
        <w:pStyle w:val="Heading1"/>
      </w:pPr>
      <w:bookmarkStart w:id="5" w:name="_Toc398800934"/>
      <w:bookmarkStart w:id="6" w:name="_Toc398801105"/>
      <w:bookmarkStart w:id="7" w:name="_Toc399138963"/>
      <w:bookmarkStart w:id="8" w:name="_Toc399398664"/>
      <w:bookmarkStart w:id="9" w:name="_Toc398800943"/>
      <w:bookmarkStart w:id="10" w:name="_Toc398801114"/>
      <w:bookmarkStart w:id="11" w:name="_Toc399138972"/>
      <w:bookmarkStart w:id="12" w:name="_Toc399398673"/>
      <w:bookmarkStart w:id="13" w:name="_Toc399138981"/>
      <w:bookmarkStart w:id="14" w:name="_Toc452018132"/>
      <w:bookmarkEnd w:id="5"/>
      <w:bookmarkEnd w:id="6"/>
      <w:bookmarkEnd w:id="7"/>
      <w:bookmarkEnd w:id="8"/>
      <w:bookmarkEnd w:id="9"/>
      <w:bookmarkEnd w:id="10"/>
      <w:bookmarkEnd w:id="11"/>
      <w:bookmarkEnd w:id="12"/>
      <w:r>
        <w:t>Purpose</w:t>
      </w:r>
      <w:bookmarkEnd w:id="13"/>
      <w:bookmarkEnd w:id="14"/>
      <w:r>
        <w:t xml:space="preserve"> </w:t>
      </w:r>
    </w:p>
    <w:p w14:paraId="121F1569" w14:textId="1A8DD324" w:rsidR="00471C3D" w:rsidRPr="009E1541" w:rsidRDefault="000308AC" w:rsidP="00471C3D">
      <w:pPr>
        <w:pStyle w:val="Heading2"/>
      </w:pPr>
      <w:bookmarkStart w:id="15" w:name="_Toc399138982"/>
      <w:bookmarkStart w:id="16" w:name="_Toc452018133"/>
      <w:r>
        <w:t>Issue/Need for a</w:t>
      </w:r>
      <w:r w:rsidR="00471C3D" w:rsidRPr="009E1541">
        <w:t>ction</w:t>
      </w:r>
      <w:bookmarkEnd w:id="15"/>
      <w:bookmarkEnd w:id="16"/>
      <w:r w:rsidR="00471C3D" w:rsidRPr="009E1541">
        <w:t xml:space="preserve"> </w:t>
      </w:r>
    </w:p>
    <w:p w14:paraId="4D852A9F" w14:textId="07A3D552" w:rsidR="00066DAB" w:rsidRDefault="009E1541" w:rsidP="00471C3D">
      <w:r>
        <w:t xml:space="preserve">The primary rationale for reviewing the TAC for </w:t>
      </w:r>
      <w:r w:rsidR="005B097B">
        <w:t>JMA 3</w:t>
      </w:r>
      <w:r>
        <w:t xml:space="preserve"> is the prolonged period of decreased abundance of the dominant jack mackerel species found in this QMA</w:t>
      </w:r>
      <w:r w:rsidR="007E7494">
        <w:t>,</w:t>
      </w:r>
      <w:r>
        <w:t xml:space="preserve"> </w:t>
      </w:r>
      <w:r w:rsidRPr="006029C3">
        <w:rPr>
          <w:i/>
        </w:rPr>
        <w:t>T. murphyi</w:t>
      </w:r>
      <w:r>
        <w:t>. The arrival of this species in New Zealand waters in the mid to late 1980s is well d</w:t>
      </w:r>
      <w:r w:rsidR="00066DAB">
        <w:t>ocumented</w:t>
      </w:r>
      <w:r w:rsidR="008E1419">
        <w:t>,</w:t>
      </w:r>
      <w:r w:rsidR="00066DAB">
        <w:t xml:space="preserve"> as is its </w:t>
      </w:r>
      <w:r>
        <w:t>dramatic increase in abundance throughout New Zealand</w:t>
      </w:r>
      <w:r w:rsidR="00AA640B">
        <w:t>,</w:t>
      </w:r>
      <w:r>
        <w:t xml:space="preserve"> particularly in </w:t>
      </w:r>
      <w:r w:rsidR="005B097B">
        <w:t>JMA 3</w:t>
      </w:r>
      <w:r w:rsidR="00066DAB">
        <w:t>.</w:t>
      </w:r>
      <w:r w:rsidR="00AA640B">
        <w:t xml:space="preserve"> In response to the increased abundance, the </w:t>
      </w:r>
      <w:r w:rsidR="005B097B">
        <w:t>JMA 3</w:t>
      </w:r>
      <w:r w:rsidR="00AA640B">
        <w:t xml:space="preserve"> </w:t>
      </w:r>
      <w:r w:rsidR="007E7494">
        <w:t>catch limit</w:t>
      </w:r>
      <w:r w:rsidR="00AA640B">
        <w:t xml:space="preserve"> </w:t>
      </w:r>
      <w:r w:rsidR="00066DAB">
        <w:t xml:space="preserve">was </w:t>
      </w:r>
      <w:r w:rsidR="00AA640B">
        <w:t>increased by around 600%</w:t>
      </w:r>
      <w:r w:rsidR="00066DAB">
        <w:t xml:space="preserve"> in the </w:t>
      </w:r>
      <w:r w:rsidR="007E7494">
        <w:t xml:space="preserve">early to </w:t>
      </w:r>
      <w:r w:rsidR="00066DAB">
        <w:t>mid-1990s.</w:t>
      </w:r>
    </w:p>
    <w:p w14:paraId="08C0E890" w14:textId="77777777" w:rsidR="00066DAB" w:rsidRDefault="00066DAB" w:rsidP="00471C3D"/>
    <w:p w14:paraId="6BA684C5" w14:textId="402F4CE2" w:rsidR="00EB4643" w:rsidRDefault="005B097B" w:rsidP="00471C3D">
      <w:r>
        <w:t>JMA 3</w:t>
      </w:r>
      <w:r w:rsidR="00AA640B">
        <w:t xml:space="preserve"> landings </w:t>
      </w:r>
      <w:r w:rsidR="00066DAB">
        <w:t>increased</w:t>
      </w:r>
      <w:r w:rsidR="00AA640B">
        <w:t xml:space="preserve"> tenfold between the mid-1980s and the mid-1990s</w:t>
      </w:r>
      <w:r w:rsidR="00066DAB">
        <w:t xml:space="preserve"> and </w:t>
      </w:r>
      <w:r w:rsidR="00AA640B">
        <w:t xml:space="preserve">remained high throughout much of the 1990s. However since 2000/01 there has been a sustained period of reduced catches, due almost entirely to the decrease in abundance of </w:t>
      </w:r>
      <w:r w:rsidR="00AA640B" w:rsidRPr="006029C3">
        <w:rPr>
          <w:i/>
        </w:rPr>
        <w:t>T. murphyi</w:t>
      </w:r>
      <w:r w:rsidR="00AA640B">
        <w:rPr>
          <w:i/>
        </w:rPr>
        <w:t xml:space="preserve">. </w:t>
      </w:r>
      <w:r w:rsidR="00066DAB">
        <w:t xml:space="preserve">It is logical that having increased the </w:t>
      </w:r>
      <w:r>
        <w:t>JMA 3</w:t>
      </w:r>
      <w:r w:rsidR="00066DAB">
        <w:t xml:space="preserve"> TAC</w:t>
      </w:r>
      <w:r w:rsidR="008E1419">
        <w:t>C</w:t>
      </w:r>
      <w:r w:rsidR="00066DAB">
        <w:t xml:space="preserve"> in response to the increase in abundance of </w:t>
      </w:r>
      <w:r w:rsidR="00066DAB" w:rsidRPr="006029C3">
        <w:rPr>
          <w:i/>
        </w:rPr>
        <w:t>T. murphyi</w:t>
      </w:r>
      <w:r w:rsidR="00066DAB">
        <w:rPr>
          <w:i/>
        </w:rPr>
        <w:t xml:space="preserve">, </w:t>
      </w:r>
      <w:r w:rsidR="00066DAB">
        <w:t>the TAC should now be reviewed in response to the prolonged period of decreased abundance.</w:t>
      </w:r>
    </w:p>
    <w:p w14:paraId="3D061D98" w14:textId="77777777" w:rsidR="008E1419" w:rsidRDefault="008E1419" w:rsidP="00471C3D"/>
    <w:p w14:paraId="2EAA190D" w14:textId="75BFB5F7" w:rsidR="008E1419" w:rsidRPr="00066DAB" w:rsidRDefault="008E1419" w:rsidP="00471C3D">
      <w:r>
        <w:t xml:space="preserve">The arrival/influx of </w:t>
      </w:r>
      <w:r w:rsidRPr="006029C3">
        <w:rPr>
          <w:i/>
        </w:rPr>
        <w:t>T. murphyi</w:t>
      </w:r>
      <w:r>
        <w:t xml:space="preserve"> in New Zealand occurred during a period of increased abundance of this species throughout its distribution that started in the 1970s and continued through to about the mid to late 1990s. During this period, the species expanded its distribution westward across the Pacific to New Zealand and Australia. The ongoing </w:t>
      </w:r>
      <w:r w:rsidR="00D84DA8">
        <w:t>existence</w:t>
      </w:r>
      <w:r>
        <w:t xml:space="preserve"> of </w:t>
      </w:r>
      <w:r w:rsidRPr="006029C3">
        <w:rPr>
          <w:i/>
        </w:rPr>
        <w:t>T. murphyi</w:t>
      </w:r>
      <w:r>
        <w:t xml:space="preserve"> in New Zealand is thought to depend on the continued arrival of fish from the South Pacific. </w:t>
      </w:r>
    </w:p>
    <w:p w14:paraId="6E407D10" w14:textId="77777777" w:rsidR="00EB4643" w:rsidRDefault="00EB4643" w:rsidP="00471C3D"/>
    <w:p w14:paraId="3B0AC6A0" w14:textId="607ADB7A" w:rsidR="00EB4643" w:rsidRDefault="008E1419" w:rsidP="00471C3D">
      <w:r>
        <w:t xml:space="preserve">The </w:t>
      </w:r>
      <w:r w:rsidRPr="006029C3">
        <w:rPr>
          <w:i/>
        </w:rPr>
        <w:t>T. murphyi</w:t>
      </w:r>
      <w:r>
        <w:t xml:space="preserve"> present in New Zealand are thought to form part of a wider stock distributed throughout the South Pacific Ocean. </w:t>
      </w:r>
      <w:r w:rsidR="00474D78">
        <w:t xml:space="preserve">A stock assessment for </w:t>
      </w:r>
      <w:r w:rsidR="00474D78" w:rsidRPr="006029C3">
        <w:rPr>
          <w:i/>
        </w:rPr>
        <w:t>T. murphyi</w:t>
      </w:r>
      <w:r w:rsidR="00474D78">
        <w:t xml:space="preserve"> was presented to the South Pacific Regional Fisheries Management Organisation </w:t>
      </w:r>
      <w:r w:rsidR="00193E1C">
        <w:t xml:space="preserve">(SPRFMO) </w:t>
      </w:r>
      <w:r w:rsidR="00474D78">
        <w:t xml:space="preserve">Scientific Committee in October 2014. The stock assessment calculated that the biomass of </w:t>
      </w:r>
      <w:r w:rsidR="00474D78" w:rsidRPr="006029C3">
        <w:rPr>
          <w:i/>
        </w:rPr>
        <w:t>T. murphyi</w:t>
      </w:r>
      <w:r w:rsidR="00474D78">
        <w:t xml:space="preserve"> in 2013 was 14% B</w:t>
      </w:r>
      <w:r w:rsidR="00474D78" w:rsidRPr="00474D78">
        <w:rPr>
          <w:vertAlign w:val="subscript"/>
        </w:rPr>
        <w:t>0</w:t>
      </w:r>
      <w:r w:rsidR="00474D78">
        <w:t>, after having reached</w:t>
      </w:r>
      <w:r>
        <w:t xml:space="preserve"> a low of</w:t>
      </w:r>
      <w:r w:rsidR="00474D78">
        <w:t xml:space="preserve"> 5% B</w:t>
      </w:r>
      <w:r w:rsidR="00474D78" w:rsidRPr="00474D78">
        <w:rPr>
          <w:vertAlign w:val="subscript"/>
        </w:rPr>
        <w:t>0</w:t>
      </w:r>
      <w:r w:rsidR="00474D78">
        <w:t xml:space="preserve"> in 2010.</w:t>
      </w:r>
      <w:r w:rsidR="0074189F">
        <w:rPr>
          <w:rStyle w:val="FootnoteReference"/>
        </w:rPr>
        <w:footnoteReference w:id="1"/>
      </w:r>
    </w:p>
    <w:p w14:paraId="3C4DB9DC" w14:textId="77777777" w:rsidR="002A6A6A" w:rsidRDefault="002A6A6A" w:rsidP="00471C3D"/>
    <w:p w14:paraId="0902FD6E" w14:textId="034910D7" w:rsidR="00193E1C" w:rsidRDefault="005F5921" w:rsidP="00471C3D">
      <w:r>
        <w:t xml:space="preserve">With the current </w:t>
      </w:r>
      <w:r w:rsidR="007E7494">
        <w:t xml:space="preserve">Pacific-wide </w:t>
      </w:r>
      <w:r>
        <w:t xml:space="preserve">biomass at low levels, it is unlikely that the volume of </w:t>
      </w:r>
      <w:r w:rsidR="003E686C" w:rsidRPr="006029C3">
        <w:rPr>
          <w:i/>
        </w:rPr>
        <w:t>T. murphyi</w:t>
      </w:r>
      <w:r w:rsidR="003E686C">
        <w:t xml:space="preserve"> </w:t>
      </w:r>
      <w:r>
        <w:t xml:space="preserve">arriving </w:t>
      </w:r>
      <w:r w:rsidR="008E1419">
        <w:t xml:space="preserve">in New Zealand waters </w:t>
      </w:r>
      <w:r>
        <w:t xml:space="preserve">from the South Pacific is sufficient to sustain the current TACC. This is demonstrated by the sustained period of </w:t>
      </w:r>
      <w:r w:rsidR="001E51D0">
        <w:t xml:space="preserve">low catch of </w:t>
      </w:r>
      <w:r w:rsidR="005B097B">
        <w:t>JMA 3</w:t>
      </w:r>
      <w:r w:rsidR="001E51D0">
        <w:t xml:space="preserve"> since 2000/01, which has occurred </w:t>
      </w:r>
      <w:r w:rsidR="002A6A6A">
        <w:t>in parallel</w:t>
      </w:r>
      <w:r w:rsidR="001E51D0">
        <w:t xml:space="preserve"> </w:t>
      </w:r>
      <w:r w:rsidR="002A6A6A">
        <w:t>with</w:t>
      </w:r>
      <w:r w:rsidR="001E51D0">
        <w:t xml:space="preserve"> </w:t>
      </w:r>
      <w:r w:rsidR="008E1419">
        <w:t>the</w:t>
      </w:r>
      <w:r w:rsidR="001E51D0">
        <w:t xml:space="preserve"> ongoing decline in</w:t>
      </w:r>
      <w:r w:rsidR="002A6A6A">
        <w:t xml:space="preserve"> abundance of</w:t>
      </w:r>
      <w:r w:rsidR="001E51D0">
        <w:t xml:space="preserve"> </w:t>
      </w:r>
      <w:r w:rsidR="001E51D0" w:rsidRPr="006029C3">
        <w:rPr>
          <w:i/>
        </w:rPr>
        <w:t>T. murphyi</w:t>
      </w:r>
      <w:r w:rsidR="001E51D0">
        <w:t xml:space="preserve"> throughout the Pacific. </w:t>
      </w:r>
    </w:p>
    <w:p w14:paraId="3C8CF795" w14:textId="77777777" w:rsidR="00434883" w:rsidRPr="004741D6" w:rsidRDefault="00434883" w:rsidP="00471C3D"/>
    <w:p w14:paraId="52C11B22" w14:textId="1B74DB9D" w:rsidR="00471C3D" w:rsidRPr="005F5921" w:rsidRDefault="00471C3D" w:rsidP="00471C3D">
      <w:pPr>
        <w:pStyle w:val="Heading2"/>
      </w:pPr>
      <w:bookmarkStart w:id="17" w:name="_Toc399138983"/>
      <w:bookmarkStart w:id="18" w:name="_Toc452018134"/>
      <w:r w:rsidRPr="005F5921">
        <w:t>M</w:t>
      </w:r>
      <w:r w:rsidR="000308AC">
        <w:t>anagement a</w:t>
      </w:r>
      <w:r w:rsidRPr="005F5921">
        <w:t>pproach</w:t>
      </w:r>
      <w:bookmarkEnd w:id="17"/>
      <w:bookmarkEnd w:id="18"/>
    </w:p>
    <w:p w14:paraId="553ACDB4" w14:textId="044B3CB5" w:rsidR="00471C3D" w:rsidRDefault="0074189F" w:rsidP="00471C3D">
      <w:r>
        <w:t xml:space="preserve">Jack mackerel is managed </w:t>
      </w:r>
      <w:r w:rsidR="00A30C8F">
        <w:t>under</w:t>
      </w:r>
      <w:r>
        <w:t xml:space="preserve"> the National Fisheries Plan for Deepwater and Middle-Depth </w:t>
      </w:r>
      <w:r w:rsidR="00A30C8F">
        <w:t>F</w:t>
      </w:r>
      <w:r>
        <w:t>isheries</w:t>
      </w:r>
      <w:r w:rsidR="00A30C8F">
        <w:t xml:space="preserve"> (National Deepwater Plan), which was approved by the Minister of Fisheries under Section 11A of the Fisheries Act 1996</w:t>
      </w:r>
      <w:r w:rsidR="008E1419">
        <w:t>.</w:t>
      </w:r>
      <w:r>
        <w:t xml:space="preserve"> </w:t>
      </w:r>
      <w:r w:rsidR="00A30C8F">
        <w:t>Within the National Deepwater Plan it is classed as a Tier 2 stock. Tier 2 stocks are typically less valuable bycatch fisheries or are only target fisheries at certain times of the year.</w:t>
      </w:r>
      <w:r w:rsidR="00A30C8F">
        <w:rPr>
          <w:rStyle w:val="FootnoteReference"/>
        </w:rPr>
        <w:footnoteReference w:id="2"/>
      </w:r>
      <w:r>
        <w:t xml:space="preserve"> </w:t>
      </w:r>
    </w:p>
    <w:p w14:paraId="5564AC91" w14:textId="77777777" w:rsidR="00A30C8F" w:rsidRDefault="00A30C8F" w:rsidP="00471C3D"/>
    <w:p w14:paraId="777E1ED6" w14:textId="5FE2F897" w:rsidR="00A30C8F" w:rsidRDefault="00A30C8F" w:rsidP="00471C3D">
      <w:r>
        <w:t>As with most Tier 2 species, there is insufficient information for JMA</w:t>
      </w:r>
      <w:r w:rsidR="003820EB">
        <w:t xml:space="preserve"> </w:t>
      </w:r>
      <w:r>
        <w:t>3 to undertake a stock assessment. Stock assessments describe the past and current status of a fish stock and may allow predictions to be made about how a stock will respond to current and future management options. In the absence of a stock assessment, regular characterisations are scheduled for this stock. A characterisation summarises the available information with the aim of developing methods for monitoring that species or stock.</w:t>
      </w:r>
    </w:p>
    <w:p w14:paraId="4BF250E0" w14:textId="77777777" w:rsidR="001E51D0" w:rsidRDefault="001E51D0" w:rsidP="00471C3D"/>
    <w:p w14:paraId="6040DDCA" w14:textId="3389726A" w:rsidR="00A30C8F" w:rsidRPr="00A91349" w:rsidRDefault="00A30C8F" w:rsidP="00A30C8F">
      <w:r>
        <w:t xml:space="preserve">In the absence of species-specific measures, the default reference points set out by the Harvest Strategy Standard apply (as set out in Table 2 below). The Harvest Strategy Standard is a policy statement of best practice in relation to the setting of targets and limits for New Zealand fishstocks managed under the QMS. For more information, refer to </w:t>
      </w:r>
      <w:hyperlink r:id="rId25" w:history="1">
        <w:r>
          <w:rPr>
            <w:rStyle w:val="Hyperlink"/>
          </w:rPr>
          <w:t>this</w:t>
        </w:r>
      </w:hyperlink>
      <w:r>
        <w:t xml:space="preserve"> link.</w:t>
      </w:r>
    </w:p>
    <w:p w14:paraId="156C9B6C" w14:textId="77777777" w:rsidR="001E51D0" w:rsidRDefault="001E51D0" w:rsidP="00471C3D"/>
    <w:p w14:paraId="65A470BE" w14:textId="77777777" w:rsidR="001E51D0" w:rsidRPr="002C345D" w:rsidRDefault="001E51D0" w:rsidP="00471C3D">
      <w:pPr>
        <w:rPr>
          <w:rFonts w:ascii="Arial Narrow" w:hAnsi="Arial Narrow"/>
          <w:b/>
          <w:szCs w:val="24"/>
        </w:rPr>
      </w:pPr>
      <w:r w:rsidRPr="002C345D">
        <w:rPr>
          <w:rFonts w:ascii="Arial Narrow" w:hAnsi="Arial Narrow"/>
          <w:b/>
          <w:szCs w:val="24"/>
        </w:rPr>
        <w:t xml:space="preserve">Table 2. </w:t>
      </w:r>
      <w:r w:rsidR="00AE22B1" w:rsidRPr="002C345D">
        <w:rPr>
          <w:rFonts w:ascii="Arial Narrow" w:hAnsi="Arial Narrow"/>
          <w:b/>
          <w:szCs w:val="24"/>
        </w:rPr>
        <w:t>Jack mackerel default reference points, and the associated management response</w:t>
      </w:r>
    </w:p>
    <w:p w14:paraId="70860FD3" w14:textId="77777777" w:rsidR="00AE22B1" w:rsidRDefault="00AE22B1" w:rsidP="00471C3D">
      <w:pPr>
        <w:rPr>
          <w:sz w:val="22"/>
          <w:szCs w:val="22"/>
        </w:rPr>
      </w:pPr>
    </w:p>
    <w:tbl>
      <w:tblPr>
        <w:tblW w:w="8700" w:type="dxa"/>
        <w:jc w:val="center"/>
        <w:tblCellMar>
          <w:left w:w="0" w:type="dxa"/>
          <w:right w:w="0" w:type="dxa"/>
        </w:tblCellMar>
        <w:tblLook w:val="04A0" w:firstRow="1" w:lastRow="0" w:firstColumn="1" w:lastColumn="0" w:noHBand="0" w:noVBand="1"/>
      </w:tblPr>
      <w:tblGrid>
        <w:gridCol w:w="2835"/>
        <w:gridCol w:w="5865"/>
      </w:tblGrid>
      <w:tr w:rsidR="00AE22B1" w:rsidRPr="0087455E" w14:paraId="6C37E12B" w14:textId="77777777" w:rsidTr="005B4D22">
        <w:trPr>
          <w:trHeight w:val="255"/>
          <w:jc w:val="center"/>
        </w:trPr>
        <w:tc>
          <w:tcPr>
            <w:tcW w:w="2835" w:type="dxa"/>
            <w:tcBorders>
              <w:top w:val="single" w:sz="8" w:space="0" w:color="auto"/>
              <w:bottom w:val="single" w:sz="8" w:space="0" w:color="auto"/>
            </w:tcBorders>
            <w:shd w:val="clear" w:color="auto" w:fill="auto"/>
            <w:noWrap/>
            <w:tcMar>
              <w:top w:w="0" w:type="dxa"/>
              <w:left w:w="108" w:type="dxa"/>
              <w:bottom w:w="0" w:type="dxa"/>
              <w:right w:w="108" w:type="dxa"/>
            </w:tcMar>
            <w:vAlign w:val="bottom"/>
            <w:hideMark/>
          </w:tcPr>
          <w:p w14:paraId="621A0A96" w14:textId="77777777" w:rsidR="00AE22B1" w:rsidRPr="005B4D22" w:rsidRDefault="00AE22B1" w:rsidP="000F4CDF">
            <w:pPr>
              <w:rPr>
                <w:rFonts w:ascii="Arial Narrow" w:hAnsi="Arial Narrow"/>
                <w:b/>
                <w:bCs/>
                <w:sz w:val="22"/>
                <w:lang w:val="en-GB"/>
              </w:rPr>
            </w:pPr>
            <w:r w:rsidRPr="005B4D22">
              <w:rPr>
                <w:rFonts w:ascii="Arial Narrow" w:hAnsi="Arial Narrow"/>
                <w:b/>
                <w:bCs/>
                <w:sz w:val="22"/>
                <w:lang w:val="en-GB"/>
              </w:rPr>
              <w:t>Reference point</w:t>
            </w:r>
          </w:p>
        </w:tc>
        <w:tc>
          <w:tcPr>
            <w:tcW w:w="5865" w:type="dxa"/>
            <w:tcBorders>
              <w:top w:val="single" w:sz="8" w:space="0" w:color="auto"/>
              <w:bottom w:val="single" w:sz="8" w:space="0" w:color="auto"/>
            </w:tcBorders>
            <w:shd w:val="clear" w:color="auto" w:fill="auto"/>
            <w:noWrap/>
            <w:tcMar>
              <w:top w:w="0" w:type="dxa"/>
              <w:left w:w="108" w:type="dxa"/>
              <w:bottom w:w="0" w:type="dxa"/>
              <w:right w:w="108" w:type="dxa"/>
            </w:tcMar>
            <w:vAlign w:val="bottom"/>
            <w:hideMark/>
          </w:tcPr>
          <w:p w14:paraId="1C14FCED" w14:textId="77777777" w:rsidR="00AE22B1" w:rsidRPr="005B4D22" w:rsidRDefault="00AE22B1" w:rsidP="000F4CDF">
            <w:pPr>
              <w:rPr>
                <w:rFonts w:ascii="Arial Narrow" w:hAnsi="Arial Narrow"/>
                <w:b/>
                <w:bCs/>
                <w:sz w:val="22"/>
                <w:lang w:val="en-GB"/>
              </w:rPr>
            </w:pPr>
            <w:r w:rsidRPr="005B4D22">
              <w:rPr>
                <w:rFonts w:ascii="Arial Narrow" w:hAnsi="Arial Narrow"/>
                <w:b/>
                <w:bCs/>
                <w:sz w:val="22"/>
                <w:lang w:val="en-GB"/>
              </w:rPr>
              <w:t>Management response</w:t>
            </w:r>
          </w:p>
        </w:tc>
      </w:tr>
      <w:tr w:rsidR="00AE22B1" w:rsidRPr="0087455E" w14:paraId="15DDD75B" w14:textId="77777777" w:rsidTr="005B4D22">
        <w:trPr>
          <w:trHeight w:val="692"/>
          <w:jc w:val="center"/>
        </w:trPr>
        <w:tc>
          <w:tcPr>
            <w:tcW w:w="2835"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36C61CFE" w14:textId="77777777" w:rsidR="00AE22B1" w:rsidRPr="005B4D22" w:rsidRDefault="00AE22B1" w:rsidP="000F4CDF">
            <w:pPr>
              <w:rPr>
                <w:rFonts w:ascii="Arial Narrow" w:hAnsi="Arial Narrow"/>
                <w:b/>
                <w:sz w:val="22"/>
                <w:lang w:val="en-GB"/>
              </w:rPr>
            </w:pPr>
            <w:r w:rsidRPr="005B4D22">
              <w:rPr>
                <w:rFonts w:ascii="Arial Narrow" w:hAnsi="Arial Narrow"/>
                <w:b/>
                <w:sz w:val="22"/>
                <w:lang w:val="en-GB"/>
              </w:rPr>
              <w:t>Management target of 40% B</w:t>
            </w:r>
            <w:r w:rsidRPr="005B4D22">
              <w:rPr>
                <w:rFonts w:ascii="Arial Narrow" w:hAnsi="Arial Narrow"/>
                <w:b/>
                <w:sz w:val="22"/>
                <w:vertAlign w:val="subscript"/>
                <w:lang w:val="en-GB"/>
              </w:rPr>
              <w:t>0</w:t>
            </w:r>
          </w:p>
        </w:tc>
        <w:tc>
          <w:tcPr>
            <w:tcW w:w="5865" w:type="dxa"/>
            <w:tcBorders>
              <w:top w:val="single" w:sz="8" w:space="0" w:color="auto"/>
              <w:bottom w:val="single" w:sz="8" w:space="0" w:color="auto"/>
            </w:tcBorders>
            <w:shd w:val="clear" w:color="auto" w:fill="auto"/>
            <w:tcMar>
              <w:top w:w="0" w:type="dxa"/>
              <w:left w:w="108" w:type="dxa"/>
              <w:bottom w:w="0" w:type="dxa"/>
              <w:right w:w="108" w:type="dxa"/>
            </w:tcMar>
            <w:vAlign w:val="center"/>
            <w:hideMark/>
          </w:tcPr>
          <w:p w14:paraId="6953052D" w14:textId="77777777" w:rsidR="00AE22B1" w:rsidRPr="005B4D22" w:rsidRDefault="00AE22B1" w:rsidP="000F4CDF">
            <w:pPr>
              <w:rPr>
                <w:rFonts w:ascii="Arial Narrow" w:hAnsi="Arial Narrow"/>
                <w:sz w:val="22"/>
                <w:lang w:val="en-GB"/>
              </w:rPr>
            </w:pPr>
            <w:r w:rsidRPr="005B4D22">
              <w:rPr>
                <w:rFonts w:ascii="Arial Narrow" w:hAnsi="Arial Narrow"/>
                <w:sz w:val="22"/>
                <w:lang w:val="en-GB"/>
              </w:rPr>
              <w:t xml:space="preserve">Stock permitted to fluctuate around this management target. </w:t>
            </w:r>
          </w:p>
          <w:p w14:paraId="30FA8570" w14:textId="77777777" w:rsidR="00AE22B1" w:rsidRPr="005B4D22" w:rsidRDefault="00AE22B1" w:rsidP="000F4CDF">
            <w:pPr>
              <w:rPr>
                <w:rFonts w:ascii="Arial Narrow" w:hAnsi="Arial Narrow"/>
                <w:sz w:val="22"/>
                <w:lang w:val="en-GB"/>
              </w:rPr>
            </w:pPr>
            <w:r w:rsidRPr="005B4D22">
              <w:rPr>
                <w:rFonts w:ascii="Arial Narrow" w:hAnsi="Arial Narrow"/>
                <w:sz w:val="22"/>
                <w:lang w:val="en-GB"/>
              </w:rPr>
              <w:t>TAC changes will be employed to move stock toward or above target.</w:t>
            </w:r>
          </w:p>
        </w:tc>
      </w:tr>
      <w:tr w:rsidR="00AE22B1" w:rsidRPr="0087455E" w14:paraId="5DF3A912" w14:textId="77777777" w:rsidTr="005B4D22">
        <w:trPr>
          <w:trHeight w:val="689"/>
          <w:jc w:val="center"/>
        </w:trPr>
        <w:tc>
          <w:tcPr>
            <w:tcW w:w="2835"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7A9B8457" w14:textId="77777777" w:rsidR="00AE22B1" w:rsidRPr="005B4D22" w:rsidRDefault="00AE22B1" w:rsidP="000F4CDF">
            <w:pPr>
              <w:rPr>
                <w:rFonts w:ascii="Arial Narrow" w:hAnsi="Arial Narrow"/>
                <w:b/>
                <w:sz w:val="22"/>
                <w:lang w:val="en-GB"/>
              </w:rPr>
            </w:pPr>
            <w:r w:rsidRPr="005B4D22">
              <w:rPr>
                <w:rFonts w:ascii="Arial Narrow" w:hAnsi="Arial Narrow"/>
                <w:b/>
                <w:sz w:val="22"/>
                <w:lang w:val="en-GB"/>
              </w:rPr>
              <w:t>Soft limit of 20% B</w:t>
            </w:r>
            <w:r w:rsidRPr="005B4D22">
              <w:rPr>
                <w:rFonts w:ascii="Arial Narrow" w:hAnsi="Arial Narrow"/>
                <w:b/>
                <w:sz w:val="22"/>
                <w:vertAlign w:val="subscript"/>
                <w:lang w:val="en-GB"/>
              </w:rPr>
              <w:t>0</w:t>
            </w:r>
          </w:p>
        </w:tc>
        <w:tc>
          <w:tcPr>
            <w:tcW w:w="5865" w:type="dxa"/>
            <w:tcBorders>
              <w:top w:val="single" w:sz="8" w:space="0" w:color="auto"/>
              <w:bottom w:val="single" w:sz="8" w:space="0" w:color="auto"/>
            </w:tcBorders>
            <w:shd w:val="clear" w:color="auto" w:fill="auto"/>
            <w:tcMar>
              <w:top w:w="0" w:type="dxa"/>
              <w:left w:w="108" w:type="dxa"/>
              <w:bottom w:w="0" w:type="dxa"/>
              <w:right w:w="108" w:type="dxa"/>
            </w:tcMar>
            <w:vAlign w:val="center"/>
            <w:hideMark/>
          </w:tcPr>
          <w:p w14:paraId="3B30E5FB" w14:textId="77777777" w:rsidR="00AE22B1" w:rsidRPr="005B4D22" w:rsidRDefault="00AE22B1" w:rsidP="000F4CDF">
            <w:pPr>
              <w:rPr>
                <w:rFonts w:ascii="Arial Narrow" w:hAnsi="Arial Narrow"/>
                <w:sz w:val="22"/>
                <w:lang w:val="en-GB"/>
              </w:rPr>
            </w:pPr>
            <w:r w:rsidRPr="005B4D22">
              <w:rPr>
                <w:rFonts w:ascii="Arial Narrow" w:hAnsi="Arial Narrow"/>
                <w:sz w:val="22"/>
                <w:lang w:val="en-GB"/>
              </w:rPr>
              <w:t>A formal time constrained rebuilding plan will be implemented if this limit is reached.</w:t>
            </w:r>
          </w:p>
        </w:tc>
      </w:tr>
      <w:tr w:rsidR="00AE22B1" w:rsidRPr="0087455E" w14:paraId="7A52968E" w14:textId="77777777" w:rsidTr="005B4D22">
        <w:trPr>
          <w:trHeight w:val="543"/>
          <w:jc w:val="center"/>
        </w:trPr>
        <w:tc>
          <w:tcPr>
            <w:tcW w:w="2835"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67A9FE0A" w14:textId="77777777" w:rsidR="00AE22B1" w:rsidRPr="005B4D22" w:rsidRDefault="00AE22B1" w:rsidP="000F4CDF">
            <w:pPr>
              <w:rPr>
                <w:rFonts w:ascii="Arial Narrow" w:hAnsi="Arial Narrow"/>
                <w:b/>
                <w:sz w:val="22"/>
                <w:lang w:val="en-GB"/>
              </w:rPr>
            </w:pPr>
            <w:r w:rsidRPr="005B4D22">
              <w:rPr>
                <w:rFonts w:ascii="Arial Narrow" w:hAnsi="Arial Narrow"/>
                <w:b/>
                <w:sz w:val="22"/>
                <w:lang w:val="en-GB"/>
              </w:rPr>
              <w:t>Hard limit of 10% B</w:t>
            </w:r>
            <w:r w:rsidRPr="005B4D22">
              <w:rPr>
                <w:rFonts w:ascii="Arial Narrow" w:hAnsi="Arial Narrow"/>
                <w:b/>
                <w:sz w:val="22"/>
                <w:vertAlign w:val="subscript"/>
                <w:lang w:val="en-GB"/>
              </w:rPr>
              <w:t>0</w:t>
            </w:r>
          </w:p>
        </w:tc>
        <w:tc>
          <w:tcPr>
            <w:tcW w:w="5865" w:type="dxa"/>
            <w:tcBorders>
              <w:top w:val="single" w:sz="8" w:space="0" w:color="auto"/>
              <w:bottom w:val="single" w:sz="8" w:space="0" w:color="auto"/>
            </w:tcBorders>
            <w:shd w:val="clear" w:color="auto" w:fill="auto"/>
            <w:tcMar>
              <w:top w:w="0" w:type="dxa"/>
              <w:left w:w="108" w:type="dxa"/>
              <w:bottom w:w="0" w:type="dxa"/>
              <w:right w:w="108" w:type="dxa"/>
            </w:tcMar>
            <w:vAlign w:val="center"/>
            <w:hideMark/>
          </w:tcPr>
          <w:p w14:paraId="7F83B20D" w14:textId="77777777" w:rsidR="00AE22B1" w:rsidRPr="005B4D22" w:rsidRDefault="00AE22B1" w:rsidP="000F4CDF">
            <w:pPr>
              <w:rPr>
                <w:rFonts w:ascii="Arial Narrow" w:hAnsi="Arial Narrow"/>
                <w:sz w:val="22"/>
                <w:lang w:val="en-GB"/>
              </w:rPr>
            </w:pPr>
            <w:r w:rsidRPr="005B4D22">
              <w:rPr>
                <w:rFonts w:ascii="Arial Narrow" w:hAnsi="Arial Narrow"/>
                <w:sz w:val="22"/>
                <w:lang w:val="en-GB"/>
              </w:rPr>
              <w:t xml:space="preserve">The limit below which fisheries will be considered for closure. </w:t>
            </w:r>
          </w:p>
        </w:tc>
      </w:tr>
      <w:tr w:rsidR="00AE22B1" w:rsidRPr="0087455E" w14:paraId="7BF386A5" w14:textId="77777777" w:rsidTr="005B4D22">
        <w:trPr>
          <w:trHeight w:val="531"/>
          <w:jc w:val="center"/>
        </w:trPr>
        <w:tc>
          <w:tcPr>
            <w:tcW w:w="2835"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4D66ACE9" w14:textId="77777777" w:rsidR="00AE22B1" w:rsidRPr="005B4D22" w:rsidRDefault="00AE22B1" w:rsidP="000F4CDF">
            <w:pPr>
              <w:rPr>
                <w:rFonts w:ascii="Arial Narrow" w:hAnsi="Arial Narrow"/>
                <w:b/>
                <w:sz w:val="22"/>
                <w:lang w:val="en-GB"/>
              </w:rPr>
            </w:pPr>
            <w:r w:rsidRPr="005B4D22">
              <w:rPr>
                <w:rFonts w:ascii="Arial Narrow" w:hAnsi="Arial Narrow"/>
                <w:b/>
                <w:sz w:val="22"/>
                <w:lang w:val="en-GB"/>
              </w:rPr>
              <w:t>Harvest control rule</w:t>
            </w:r>
          </w:p>
        </w:tc>
        <w:tc>
          <w:tcPr>
            <w:tcW w:w="5865" w:type="dxa"/>
            <w:tcBorders>
              <w:top w:val="single" w:sz="8" w:space="0" w:color="auto"/>
              <w:bottom w:val="single" w:sz="8" w:space="0" w:color="auto"/>
            </w:tcBorders>
            <w:shd w:val="clear" w:color="auto" w:fill="auto"/>
            <w:tcMar>
              <w:top w:w="0" w:type="dxa"/>
              <w:left w:w="108" w:type="dxa"/>
              <w:bottom w:w="0" w:type="dxa"/>
              <w:right w:w="108" w:type="dxa"/>
            </w:tcMar>
            <w:vAlign w:val="center"/>
            <w:hideMark/>
          </w:tcPr>
          <w:p w14:paraId="77045310" w14:textId="77777777" w:rsidR="00AE22B1" w:rsidRPr="005B4D22" w:rsidRDefault="00AE22B1" w:rsidP="000F4CDF">
            <w:pPr>
              <w:rPr>
                <w:rFonts w:ascii="Arial Narrow" w:hAnsi="Arial Narrow"/>
                <w:sz w:val="22"/>
                <w:lang w:val="en-GB"/>
              </w:rPr>
            </w:pPr>
            <w:r w:rsidRPr="005B4D22">
              <w:rPr>
                <w:rFonts w:ascii="Arial Narrow" w:hAnsi="Arial Narrow"/>
                <w:sz w:val="22"/>
                <w:lang w:val="en-GB"/>
              </w:rPr>
              <w:t>Management actions determined by the results of a series of forward projections under a range of catch assumptions, guided by the biological reference points</w:t>
            </w:r>
          </w:p>
        </w:tc>
      </w:tr>
    </w:tbl>
    <w:p w14:paraId="48814F44" w14:textId="77777777" w:rsidR="00AE22B1" w:rsidRDefault="00AE22B1" w:rsidP="00471C3D">
      <w:pPr>
        <w:rPr>
          <w:sz w:val="22"/>
          <w:szCs w:val="22"/>
        </w:rPr>
      </w:pPr>
    </w:p>
    <w:p w14:paraId="5BBF8FE8" w14:textId="77777777" w:rsidR="00251A30" w:rsidRPr="00AE22B1" w:rsidRDefault="00251A30" w:rsidP="00471C3D">
      <w:pPr>
        <w:rPr>
          <w:sz w:val="22"/>
          <w:szCs w:val="22"/>
        </w:rPr>
      </w:pPr>
    </w:p>
    <w:p w14:paraId="369F2F19" w14:textId="77777777" w:rsidR="00471C3D" w:rsidRDefault="00471C3D" w:rsidP="00471C3D">
      <w:pPr>
        <w:pStyle w:val="Heading1"/>
      </w:pPr>
      <w:bookmarkStart w:id="19" w:name="_Toc399138984"/>
      <w:bookmarkStart w:id="20" w:name="_Toc452018135"/>
      <w:r>
        <w:t>Background Information</w:t>
      </w:r>
      <w:bookmarkEnd w:id="19"/>
      <w:bookmarkEnd w:id="20"/>
    </w:p>
    <w:p w14:paraId="13DE92E6" w14:textId="51F4C1DE" w:rsidR="00471C3D" w:rsidRDefault="000308AC" w:rsidP="00471C3D">
      <w:pPr>
        <w:pStyle w:val="Heading2"/>
      </w:pPr>
      <w:bookmarkStart w:id="21" w:name="_Toc399138985"/>
      <w:bookmarkStart w:id="22" w:name="_Toc452018136"/>
      <w:r>
        <w:t>Biological c</w:t>
      </w:r>
      <w:r w:rsidR="00471C3D" w:rsidRPr="008B6C6E">
        <w:t xml:space="preserve">haracteristics of </w:t>
      </w:r>
      <w:bookmarkEnd w:id="21"/>
      <w:r>
        <w:t>jack mackerel s</w:t>
      </w:r>
      <w:r w:rsidR="008B6C6E">
        <w:t>pecies</w:t>
      </w:r>
      <w:bookmarkEnd w:id="22"/>
    </w:p>
    <w:p w14:paraId="5CB6399A" w14:textId="53753309" w:rsidR="008B6C6E" w:rsidRDefault="008B6C6E" w:rsidP="008B6C6E">
      <w:r>
        <w:t xml:space="preserve">New Zealand’s jack mackerel fisheries comprise three species that are managed as a species complex. Fishers are not required to report each species separately. Until </w:t>
      </w:r>
      <w:r w:rsidR="00A27A60">
        <w:t>the mid-1980s</w:t>
      </w:r>
      <w:r>
        <w:t xml:space="preserve"> only two jack mackerel species had been</w:t>
      </w:r>
      <w:r w:rsidR="00F36EB9">
        <w:t xml:space="preserve"> reported in New Zealand waters:</w:t>
      </w:r>
      <w:r>
        <w:t xml:space="preserve"> </w:t>
      </w:r>
      <w:r w:rsidRPr="008B6C6E">
        <w:rPr>
          <w:i/>
        </w:rPr>
        <w:t>Trachurus novaezelandiae</w:t>
      </w:r>
      <w:r>
        <w:t xml:space="preserve"> (“yellowtail horse mackerel”) and </w:t>
      </w:r>
      <w:r w:rsidRPr="008B6C6E">
        <w:rPr>
          <w:i/>
        </w:rPr>
        <w:t>T. declivis</w:t>
      </w:r>
      <w:r>
        <w:t xml:space="preserve"> (“greenback” or “greentail horse mackerel”). Both of these species are </w:t>
      </w:r>
      <w:r w:rsidR="00D43F7E">
        <w:t>native</w:t>
      </w:r>
      <w:r>
        <w:t xml:space="preserve"> to New Zealand and Australian waters.</w:t>
      </w:r>
    </w:p>
    <w:p w14:paraId="55CC9DB0" w14:textId="77777777" w:rsidR="00162FE3" w:rsidRDefault="00162FE3" w:rsidP="008B6C6E"/>
    <w:p w14:paraId="25CA537D" w14:textId="4A83EA4C" w:rsidR="00162FE3" w:rsidRDefault="00162FE3" w:rsidP="008B6C6E">
      <w:r>
        <w:t xml:space="preserve">Within New Zealand waters, </w:t>
      </w:r>
      <w:r w:rsidRPr="00162FE3">
        <w:rPr>
          <w:i/>
        </w:rPr>
        <w:t xml:space="preserve">T. </w:t>
      </w:r>
      <w:r w:rsidR="00F05F63" w:rsidRPr="00162FE3">
        <w:rPr>
          <w:i/>
        </w:rPr>
        <w:t>novaezelandiae</w:t>
      </w:r>
      <w:r>
        <w:t xml:space="preserve"> is uncommon south of Kaikoura and is not found at all on the Chatham Rise. </w:t>
      </w:r>
      <w:r w:rsidRPr="00162FE3">
        <w:rPr>
          <w:i/>
        </w:rPr>
        <w:t>T. declivis</w:t>
      </w:r>
      <w:r>
        <w:t xml:space="preserve"> is uncommon south of about Otago.</w:t>
      </w:r>
      <w:r w:rsidR="00E44D2D">
        <w:t xml:space="preserve"> Both species are unlikely to spawn within the </w:t>
      </w:r>
      <w:r w:rsidR="005B097B">
        <w:t>JMA 3</w:t>
      </w:r>
      <w:r w:rsidR="00E44D2D">
        <w:t xml:space="preserve"> QMA.</w:t>
      </w:r>
      <w:r w:rsidR="002A6A6A">
        <w:t xml:space="preserve"> The </w:t>
      </w:r>
      <w:r w:rsidR="005B097B">
        <w:t>JMA 3</w:t>
      </w:r>
      <w:r w:rsidR="002A6A6A">
        <w:t xml:space="preserve"> QMA therefore represents the southern </w:t>
      </w:r>
      <w:r w:rsidR="009F31AF">
        <w:t>limit</w:t>
      </w:r>
      <w:r w:rsidR="002A6A6A">
        <w:t xml:space="preserve"> of these species’ distributions </w:t>
      </w:r>
      <w:r w:rsidR="009F31AF">
        <w:t>in New Zealand waters.</w:t>
      </w:r>
    </w:p>
    <w:p w14:paraId="5DF1A120" w14:textId="77777777" w:rsidR="008B6C6E" w:rsidRDefault="008B6C6E" w:rsidP="008B6C6E"/>
    <w:p w14:paraId="19BF23BE" w14:textId="4A6905BC" w:rsidR="00E44D2D" w:rsidRDefault="008B6C6E" w:rsidP="008B6C6E">
      <w:r>
        <w:t>In 198</w:t>
      </w:r>
      <w:r w:rsidR="00973607">
        <w:t>6</w:t>
      </w:r>
      <w:r>
        <w:t xml:space="preserve"> a third species was described, </w:t>
      </w:r>
      <w:r w:rsidRPr="006029C3">
        <w:rPr>
          <w:i/>
        </w:rPr>
        <w:t>T. murphyi</w:t>
      </w:r>
      <w:r>
        <w:rPr>
          <w:i/>
        </w:rPr>
        <w:t>,</w:t>
      </w:r>
      <w:r w:rsidR="00943819">
        <w:rPr>
          <w:i/>
        </w:rPr>
        <w:t xml:space="preserve"> </w:t>
      </w:r>
      <w:r w:rsidR="00943819">
        <w:t xml:space="preserve">the </w:t>
      </w:r>
      <w:r>
        <w:rPr>
          <w:i/>
        </w:rPr>
        <w:t>“</w:t>
      </w:r>
      <w:r>
        <w:t xml:space="preserve">Chilean” or “redtail” jack mackerel. This species </w:t>
      </w:r>
      <w:r w:rsidR="00101AD0">
        <w:t>has a much wider distri</w:t>
      </w:r>
      <w:r w:rsidR="00162FE3">
        <w:t>bution than</w:t>
      </w:r>
      <w:r w:rsidR="00101AD0">
        <w:t xml:space="preserve"> the other two and is found across much of the South Pacific between South America and Australia.</w:t>
      </w:r>
      <w:r w:rsidR="00E44D2D">
        <w:t xml:space="preserve"> </w:t>
      </w:r>
      <w:r w:rsidR="00C8310C">
        <w:t xml:space="preserve">It can be found between </w:t>
      </w:r>
      <w:r w:rsidR="00A27A60">
        <w:t>the surface and 500m</w:t>
      </w:r>
      <w:r w:rsidR="00795E94">
        <w:t xml:space="preserve"> water depth</w:t>
      </w:r>
      <w:r w:rsidR="00A27A60">
        <w:t>.</w:t>
      </w:r>
    </w:p>
    <w:p w14:paraId="54CADEB4" w14:textId="77777777" w:rsidR="00E44D2D" w:rsidRDefault="00E44D2D" w:rsidP="008B6C6E"/>
    <w:p w14:paraId="05CE7F74" w14:textId="633DCCFC" w:rsidR="008B6C6E" w:rsidRDefault="00E44D2D" w:rsidP="008B6C6E">
      <w:r>
        <w:t xml:space="preserve">There was a major proliferation of this species in South American waters in the 1970s, thought to be a response to the decline </w:t>
      </w:r>
      <w:r w:rsidR="00F05F63">
        <w:t xml:space="preserve">in </w:t>
      </w:r>
      <w:r>
        <w:t>Peruvian anchoveta</w:t>
      </w:r>
      <w:r w:rsidR="00F05F63">
        <w:t xml:space="preserve"> abundance due to overfishing</w:t>
      </w:r>
      <w:r>
        <w:t xml:space="preserve">. </w:t>
      </w:r>
      <w:r w:rsidRPr="006029C3">
        <w:rPr>
          <w:i/>
        </w:rPr>
        <w:t>T. murphyi</w:t>
      </w:r>
      <w:r>
        <w:t xml:space="preserve">, together with a species of sardine, filled the niche previously occupied by the </w:t>
      </w:r>
      <w:r>
        <w:lastRenderedPageBreak/>
        <w:t xml:space="preserve">anchoveta. </w:t>
      </w:r>
      <w:r w:rsidR="00F05F63" w:rsidRPr="006029C3">
        <w:rPr>
          <w:i/>
        </w:rPr>
        <w:t>T. murphyi</w:t>
      </w:r>
      <w:r w:rsidR="00F05F63">
        <w:t xml:space="preserve"> </w:t>
      </w:r>
      <w:r>
        <w:t xml:space="preserve">then adopted an </w:t>
      </w:r>
      <w:r w:rsidR="008E1419">
        <w:t>open ocean</w:t>
      </w:r>
      <w:r>
        <w:t xml:space="preserve"> habitat </w:t>
      </w:r>
      <w:r w:rsidR="008E1419">
        <w:t>(</w:t>
      </w:r>
      <w:r w:rsidR="008E1419" w:rsidRPr="00371518">
        <w:rPr>
          <w:i/>
        </w:rPr>
        <w:t>i.e.</w:t>
      </w:r>
      <w:r w:rsidR="00371518" w:rsidRPr="00371518">
        <w:rPr>
          <w:i/>
        </w:rPr>
        <w:t>,</w:t>
      </w:r>
      <w:r w:rsidR="008E1419">
        <w:t xml:space="preserve"> it moved into the open ocean away from the coast) </w:t>
      </w:r>
      <w:r w:rsidR="002A4D2C">
        <w:t xml:space="preserve">and extended its distribution </w:t>
      </w:r>
      <w:r w:rsidR="009F31AF">
        <w:t>we</w:t>
      </w:r>
      <w:r w:rsidR="002A4D2C">
        <w:t>stwards.</w:t>
      </w:r>
    </w:p>
    <w:p w14:paraId="5DFC335F" w14:textId="77777777" w:rsidR="002A4D2C" w:rsidRDefault="002A4D2C" w:rsidP="008B6C6E"/>
    <w:p w14:paraId="2F4BA020" w14:textId="77777777" w:rsidR="002A4D2C" w:rsidRDefault="002A4D2C" w:rsidP="008B6C6E">
      <w:r w:rsidRPr="006029C3">
        <w:rPr>
          <w:i/>
        </w:rPr>
        <w:t>T. murphyi</w:t>
      </w:r>
      <w:r>
        <w:t xml:space="preserve"> was first noted near the Chatham Islands in the mid-1980s. Over a period of 5-6 years there was a rapid “invasion” and the species became distributed </w:t>
      </w:r>
      <w:r w:rsidR="00A27A60">
        <w:t xml:space="preserve">all </w:t>
      </w:r>
      <w:r>
        <w:t xml:space="preserve">around New Zealand. Abundance is thought to have peaked in 1993-1994. From about 1998 abundance declined </w:t>
      </w:r>
      <w:r w:rsidR="00097C01">
        <w:t xml:space="preserve">to a much lower level than the preceding </w:t>
      </w:r>
      <w:r w:rsidR="00C8310C">
        <w:t>8-10 years</w:t>
      </w:r>
      <w:r w:rsidR="00097C01">
        <w:t xml:space="preserve">. </w:t>
      </w:r>
    </w:p>
    <w:p w14:paraId="034AB296" w14:textId="77777777" w:rsidR="00097C01" w:rsidRDefault="00097C01" w:rsidP="008B6C6E"/>
    <w:p w14:paraId="63B1D87E" w14:textId="222E6E91" w:rsidR="00097C01" w:rsidRDefault="00097C01" w:rsidP="008B6C6E">
      <w:r>
        <w:t>It remains unclear whether the persistence of</w:t>
      </w:r>
      <w:r w:rsidRPr="00097C01">
        <w:rPr>
          <w:i/>
        </w:rPr>
        <w:t xml:space="preserve"> </w:t>
      </w:r>
      <w:r w:rsidRPr="006029C3">
        <w:rPr>
          <w:i/>
        </w:rPr>
        <w:t>T. murphyi</w:t>
      </w:r>
      <w:r>
        <w:t xml:space="preserve"> in New Zealand is due to a resident spawning population or continued arrival of fish from the South Pacific</w:t>
      </w:r>
      <w:r w:rsidR="00F05F63">
        <w:t>. T</w:t>
      </w:r>
      <w:r w:rsidR="00C8310C">
        <w:t xml:space="preserve">he </w:t>
      </w:r>
      <w:r w:rsidR="00267E51">
        <w:t xml:space="preserve">absence of juveniles means the </w:t>
      </w:r>
      <w:r w:rsidR="00C8310C">
        <w:t>latter hypothesis is currently favoured</w:t>
      </w:r>
      <w:r w:rsidR="00267E51">
        <w:t xml:space="preserve"> by researchers</w:t>
      </w:r>
      <w:r w:rsidR="00C8310C">
        <w:t>.</w:t>
      </w:r>
    </w:p>
    <w:p w14:paraId="3F265E1B" w14:textId="77777777" w:rsidR="00B50B4A" w:rsidRDefault="00B50B4A" w:rsidP="008B6C6E"/>
    <w:p w14:paraId="447A476B" w14:textId="5233AFB1" w:rsidR="00555627" w:rsidRDefault="00555627" w:rsidP="008B6C6E">
      <w:r>
        <w:t xml:space="preserve">As noted above, fishers are not required to report each species separately. Information on species composition is </w:t>
      </w:r>
      <w:r w:rsidR="00D43F7E">
        <w:t xml:space="preserve">instead </w:t>
      </w:r>
      <w:r>
        <w:t xml:space="preserve">determined from data collected by observers. The most recent information on the species composition of jack mackerels within JMA3 is for the 2012/13 fishing year. </w:t>
      </w:r>
    </w:p>
    <w:p w14:paraId="428D860E" w14:textId="77777777" w:rsidR="00555627" w:rsidRDefault="00555627" w:rsidP="008B6C6E"/>
    <w:p w14:paraId="3DF516BD" w14:textId="3FCF799C" w:rsidR="00B50B4A" w:rsidRDefault="00555627" w:rsidP="008B6C6E">
      <w:r>
        <w:t xml:space="preserve">Researchers split catch into two areas; north and south of the Otago Peninsula. In the northern area, where 72% of estimated catch was taken, </w:t>
      </w:r>
      <w:r w:rsidRPr="008B6C6E">
        <w:rPr>
          <w:i/>
        </w:rPr>
        <w:t>T. declivis</w:t>
      </w:r>
      <w:r>
        <w:t xml:space="preserve"> was the dominant species (52% of catch). In the southern area, where 28% of estimated catch was taken, </w:t>
      </w:r>
      <w:r w:rsidRPr="006029C3">
        <w:rPr>
          <w:i/>
        </w:rPr>
        <w:t>T. murphyi</w:t>
      </w:r>
      <w:r>
        <w:rPr>
          <w:i/>
        </w:rPr>
        <w:t xml:space="preserve"> </w:t>
      </w:r>
      <w:r>
        <w:t xml:space="preserve">was the dominant species (78% of catch). </w:t>
      </w:r>
      <w:r w:rsidR="00F06104">
        <w:t xml:space="preserve">Overall, </w:t>
      </w:r>
      <w:r w:rsidR="00F06104" w:rsidRPr="006029C3">
        <w:rPr>
          <w:i/>
        </w:rPr>
        <w:t>T. murphyi</w:t>
      </w:r>
      <w:r w:rsidR="00F06104">
        <w:rPr>
          <w:i/>
        </w:rPr>
        <w:t xml:space="preserve"> </w:t>
      </w:r>
      <w:r w:rsidR="00F06104">
        <w:t>was the dominant species</w:t>
      </w:r>
      <w:r w:rsidR="005F4C3D">
        <w:t xml:space="preserve"> and</w:t>
      </w:r>
      <w:r w:rsidR="00F06104">
        <w:t xml:space="preserve"> ma</w:t>
      </w:r>
      <w:r w:rsidR="005F4C3D">
        <w:t>de</w:t>
      </w:r>
      <w:r w:rsidR="00F06104">
        <w:t xml:space="preserve"> up 57% of JMA</w:t>
      </w:r>
      <w:r w:rsidR="006F66E9">
        <w:t xml:space="preserve"> </w:t>
      </w:r>
      <w:r w:rsidR="00F06104">
        <w:t xml:space="preserve">3 catch. Catch of </w:t>
      </w:r>
      <w:r w:rsidR="00F06104" w:rsidRPr="00162FE3">
        <w:rPr>
          <w:i/>
        </w:rPr>
        <w:t>T. novaezelandiae</w:t>
      </w:r>
      <w:r w:rsidR="00F06104">
        <w:rPr>
          <w:i/>
        </w:rPr>
        <w:t xml:space="preserve"> </w:t>
      </w:r>
      <w:r w:rsidR="00F06104">
        <w:t>was negligible during 2012/13.</w:t>
      </w:r>
    </w:p>
    <w:p w14:paraId="333ED4E1" w14:textId="77777777" w:rsidR="00434883" w:rsidRPr="00F06104" w:rsidRDefault="00434883" w:rsidP="008B6C6E">
      <w:pPr>
        <w:rPr>
          <w:b/>
        </w:rPr>
      </w:pPr>
    </w:p>
    <w:p w14:paraId="38CB35DD" w14:textId="5FD466DF" w:rsidR="00471C3D" w:rsidRPr="00B03188" w:rsidRDefault="000308AC" w:rsidP="00471C3D">
      <w:pPr>
        <w:pStyle w:val="Heading2"/>
      </w:pPr>
      <w:bookmarkStart w:id="23" w:name="_Toc399138986"/>
      <w:bookmarkStart w:id="24" w:name="_Toc452018137"/>
      <w:r>
        <w:t>Fishery d</w:t>
      </w:r>
      <w:r w:rsidR="00471C3D" w:rsidRPr="00B03188">
        <w:t>escription</w:t>
      </w:r>
      <w:bookmarkEnd w:id="23"/>
      <w:bookmarkEnd w:id="24"/>
      <w:r w:rsidR="00471C3D" w:rsidRPr="00B03188">
        <w:t xml:space="preserve"> </w:t>
      </w:r>
    </w:p>
    <w:p w14:paraId="66DE32D4" w14:textId="2517C732" w:rsidR="00B03188" w:rsidRDefault="009F31AF" w:rsidP="00471C3D">
      <w:r>
        <w:t xml:space="preserve">The </w:t>
      </w:r>
      <w:r w:rsidR="005B097B">
        <w:t>JMA 3</w:t>
      </w:r>
      <w:r w:rsidR="00B03188">
        <w:t xml:space="preserve"> </w:t>
      </w:r>
      <w:r>
        <w:t xml:space="preserve">stock </w:t>
      </w:r>
      <w:r w:rsidR="00B03188">
        <w:t xml:space="preserve">was introduced into the QMS in 1987 with a 2,200 tonne </w:t>
      </w:r>
      <w:r w:rsidR="003E686C">
        <w:t xml:space="preserve">commercial </w:t>
      </w:r>
      <w:r w:rsidR="00B03188">
        <w:t>catch limit. This was increased to 2,700 tonnes in 19</w:t>
      </w:r>
      <w:r>
        <w:t>8</w:t>
      </w:r>
      <w:r w:rsidR="00B03188">
        <w:t>8/</w:t>
      </w:r>
      <w:r>
        <w:t>8</w:t>
      </w:r>
      <w:r w:rsidR="00B03188">
        <w:t>9</w:t>
      </w:r>
      <w:r w:rsidR="00290D24">
        <w:t>. In 1993/94 and 1994/95 the TACC was increased by 6,300 and 9,000 tonnes respectively, bringing it up to the current 18,000 tonne level. It has remained at this level ever since.</w:t>
      </w:r>
    </w:p>
    <w:p w14:paraId="7550DD28" w14:textId="77777777" w:rsidR="00A27A60" w:rsidRDefault="00A27A60" w:rsidP="00471C3D"/>
    <w:p w14:paraId="3A41482F" w14:textId="1E6D21EB" w:rsidR="00290D24" w:rsidRDefault="005B097B" w:rsidP="00471C3D">
      <w:r>
        <w:t>JMA 3</w:t>
      </w:r>
      <w:r w:rsidR="00290D24">
        <w:t xml:space="preserve"> catch started increasing from 1989/90 onwards and peaked at just under 20,000 tonnes i</w:t>
      </w:r>
      <w:r w:rsidR="00720878">
        <w:t xml:space="preserve">n 1995/96. Landings ranged between 10 and 20,000 tonnes between 1992/93 and 1999/00. </w:t>
      </w:r>
      <w:r w:rsidR="001C5776">
        <w:t xml:space="preserve"> </w:t>
      </w:r>
      <w:r w:rsidR="00720878">
        <w:t xml:space="preserve">However, since 2000/01 catch has not exceeded 5,000 tonnes. Annual landings </w:t>
      </w:r>
      <w:r w:rsidR="007C06D6">
        <w:t xml:space="preserve">from </w:t>
      </w:r>
      <w:r w:rsidR="00720878">
        <w:t>1983/</w:t>
      </w:r>
      <w:r w:rsidR="009F31AF">
        <w:t>8</w:t>
      </w:r>
      <w:r w:rsidR="00720878">
        <w:t xml:space="preserve">4 </w:t>
      </w:r>
      <w:r w:rsidR="00267E51">
        <w:t>to</w:t>
      </w:r>
      <w:r w:rsidR="00720878">
        <w:t xml:space="preserve"> 201</w:t>
      </w:r>
      <w:r w:rsidR="00B04DF0">
        <w:t>4</w:t>
      </w:r>
      <w:r w:rsidR="00720878">
        <w:t>/1</w:t>
      </w:r>
      <w:r w:rsidR="00B04DF0">
        <w:t>5</w:t>
      </w:r>
      <w:r w:rsidR="00720878">
        <w:t xml:space="preserve"> are shown in Figure 2 below.</w:t>
      </w:r>
    </w:p>
    <w:p w14:paraId="757B0844" w14:textId="77777777" w:rsidR="00720878" w:rsidRDefault="00720878" w:rsidP="00471C3D"/>
    <w:p w14:paraId="0BF906B4" w14:textId="42C7D6B4" w:rsidR="00720878" w:rsidRDefault="00B04DF0" w:rsidP="00471C3D">
      <w:r>
        <w:rPr>
          <w:noProof/>
          <w:lang w:eastAsia="en-NZ"/>
        </w:rPr>
        <w:lastRenderedPageBreak/>
        <w:drawing>
          <wp:inline distT="0" distB="0" distL="0" distR="0" wp14:anchorId="07849BE0" wp14:editId="163F75ED">
            <wp:extent cx="5759450" cy="3477260"/>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0DDF9A" w14:textId="2EC465D4" w:rsidR="00720878" w:rsidRPr="002C345D" w:rsidRDefault="00720878" w:rsidP="00471C3D">
      <w:pPr>
        <w:rPr>
          <w:rFonts w:ascii="Arial Narrow" w:hAnsi="Arial Narrow"/>
          <w:b/>
          <w:szCs w:val="24"/>
        </w:rPr>
      </w:pPr>
      <w:r w:rsidRPr="002C345D">
        <w:rPr>
          <w:rFonts w:ascii="Arial Narrow" w:hAnsi="Arial Narrow"/>
          <w:b/>
          <w:szCs w:val="24"/>
        </w:rPr>
        <w:t xml:space="preserve">Figure 2. Graph showing catch vs </w:t>
      </w:r>
      <w:r w:rsidR="007C06D6" w:rsidRPr="002C345D">
        <w:rPr>
          <w:rFonts w:ascii="Arial Narrow" w:hAnsi="Arial Narrow"/>
          <w:b/>
          <w:szCs w:val="24"/>
        </w:rPr>
        <w:t xml:space="preserve">TACC </w:t>
      </w:r>
      <w:r w:rsidR="00340889" w:rsidRPr="002C345D">
        <w:rPr>
          <w:rFonts w:ascii="Arial Narrow" w:hAnsi="Arial Narrow"/>
          <w:b/>
          <w:szCs w:val="24"/>
        </w:rPr>
        <w:t xml:space="preserve">for </w:t>
      </w:r>
      <w:r w:rsidR="005B097B">
        <w:rPr>
          <w:rFonts w:ascii="Arial Narrow" w:hAnsi="Arial Narrow"/>
          <w:b/>
          <w:szCs w:val="24"/>
        </w:rPr>
        <w:t>JMA 3</w:t>
      </w:r>
      <w:r w:rsidRPr="002C345D">
        <w:rPr>
          <w:rFonts w:ascii="Arial Narrow" w:hAnsi="Arial Narrow"/>
          <w:b/>
          <w:szCs w:val="24"/>
        </w:rPr>
        <w:t xml:space="preserve"> between 1983/84 and 201</w:t>
      </w:r>
      <w:r w:rsidR="00B04DF0" w:rsidRPr="002C345D">
        <w:rPr>
          <w:rFonts w:ascii="Arial Narrow" w:hAnsi="Arial Narrow"/>
          <w:b/>
          <w:szCs w:val="24"/>
        </w:rPr>
        <w:t>4</w:t>
      </w:r>
      <w:r w:rsidRPr="002C345D">
        <w:rPr>
          <w:rFonts w:ascii="Arial Narrow" w:hAnsi="Arial Narrow"/>
          <w:b/>
          <w:szCs w:val="24"/>
        </w:rPr>
        <w:t>/1</w:t>
      </w:r>
      <w:r w:rsidR="00B04DF0" w:rsidRPr="002C345D">
        <w:rPr>
          <w:rFonts w:ascii="Arial Narrow" w:hAnsi="Arial Narrow"/>
          <w:b/>
          <w:szCs w:val="24"/>
        </w:rPr>
        <w:t>5</w:t>
      </w:r>
    </w:p>
    <w:p w14:paraId="7347D702" w14:textId="77777777" w:rsidR="00720878" w:rsidRDefault="00720878" w:rsidP="00471C3D"/>
    <w:p w14:paraId="6854C054" w14:textId="7A6BC236" w:rsidR="0011729A" w:rsidRDefault="0011729A" w:rsidP="0011729A">
      <w:r>
        <w:t xml:space="preserve">Trawling has always been the dominant fishing method in </w:t>
      </w:r>
      <w:r w:rsidR="005B097B">
        <w:t>JMA 3</w:t>
      </w:r>
      <w:r>
        <w:t xml:space="preserve">. Since 2000/01, </w:t>
      </w:r>
      <w:r w:rsidR="005B097B">
        <w:t>JMA 3</w:t>
      </w:r>
      <w:r>
        <w:t xml:space="preserve"> catch has been dominated by the midwater trawl fleet, which comprises 6-8 large vessels. These vessels between them have taken over 80% of </w:t>
      </w:r>
      <w:r w:rsidR="005B097B">
        <w:t>JMA 3</w:t>
      </w:r>
      <w:r>
        <w:t xml:space="preserve"> in the last 15 years.</w:t>
      </w:r>
    </w:p>
    <w:p w14:paraId="08E22FE9" w14:textId="77777777" w:rsidR="0011729A" w:rsidRDefault="0011729A" w:rsidP="00471C3D"/>
    <w:p w14:paraId="26104D2E" w14:textId="10FCE600" w:rsidR="00720878" w:rsidRDefault="00720878" w:rsidP="00471C3D">
      <w:r>
        <w:t xml:space="preserve">During the 1990s some </w:t>
      </w:r>
      <w:r w:rsidR="005B097B">
        <w:t>JMA 3</w:t>
      </w:r>
      <w:r>
        <w:t xml:space="preserve"> was taken by the purse seine fleet. </w:t>
      </w:r>
      <w:r w:rsidR="00D64EDF">
        <w:t xml:space="preserve">Purse seine catch peaked at 23% of landed catch in 1992/93 but has been intermittent since 2000/01. No </w:t>
      </w:r>
      <w:r w:rsidR="005B097B">
        <w:t>JMA 3</w:t>
      </w:r>
      <w:r w:rsidR="00B37CC4">
        <w:t xml:space="preserve"> </w:t>
      </w:r>
      <w:r w:rsidR="00D64EDF">
        <w:t>catch was reported by this method</w:t>
      </w:r>
      <w:r>
        <w:t xml:space="preserve"> </w:t>
      </w:r>
      <w:r w:rsidR="00D64EDF">
        <w:t xml:space="preserve">during </w:t>
      </w:r>
      <w:r w:rsidR="00B04DF0">
        <w:t>eight</w:t>
      </w:r>
      <w:r w:rsidR="00D64EDF">
        <w:t xml:space="preserve"> of the last 1</w:t>
      </w:r>
      <w:r w:rsidR="00B04DF0">
        <w:t>1</w:t>
      </w:r>
      <w:r w:rsidR="00D64EDF">
        <w:t xml:space="preserve"> years.</w:t>
      </w:r>
    </w:p>
    <w:p w14:paraId="79FC2EA4" w14:textId="77777777" w:rsidR="00D64EDF" w:rsidRDefault="00D64EDF" w:rsidP="00471C3D"/>
    <w:p w14:paraId="2919F8C1" w14:textId="1F9E3072" w:rsidR="00267E51" w:rsidRDefault="00076AC3" w:rsidP="00471C3D">
      <w:r>
        <w:t>Most catch is taken in Southland (on the Stewart/Snares Shelf) or off the east coast of the South Island (Mernoo Bank or off Banks Peninsula). A smaller proportion of catch is taken around the Chatham Islands.</w:t>
      </w:r>
      <w:r w:rsidR="00D64EDF">
        <w:t xml:space="preserve"> </w:t>
      </w:r>
      <w:r w:rsidR="005F4C3D">
        <w:t>In the most recent fishing year (2014/15) the proportion of catch taken from the east coast South Island and Stewart/Snares Shelf areas was almost equal (just under 40% of total estimated catch from both areas) while 23% of estimated catch was taken around the Chatham Islands</w:t>
      </w:r>
    </w:p>
    <w:p w14:paraId="261D6B0E" w14:textId="77777777" w:rsidR="00267E51" w:rsidRDefault="00267E51" w:rsidP="00471C3D"/>
    <w:p w14:paraId="4F49557B" w14:textId="02486E4D" w:rsidR="00471C3D" w:rsidRPr="00076AC3" w:rsidRDefault="000308AC" w:rsidP="00471C3D">
      <w:pPr>
        <w:pStyle w:val="Heading2"/>
      </w:pPr>
      <w:bookmarkStart w:id="25" w:name="_Toc399138987"/>
      <w:bookmarkStart w:id="26" w:name="_Toc452018138"/>
      <w:r>
        <w:t>Previous r</w:t>
      </w:r>
      <w:r w:rsidR="00471C3D" w:rsidRPr="00076AC3">
        <w:t>eview</w:t>
      </w:r>
      <w:bookmarkEnd w:id="25"/>
      <w:bookmarkEnd w:id="26"/>
      <w:r w:rsidR="00471C3D" w:rsidRPr="00076AC3">
        <w:t xml:space="preserve"> </w:t>
      </w:r>
    </w:p>
    <w:p w14:paraId="4B611D29" w14:textId="3265A8F5" w:rsidR="00471C3D" w:rsidRDefault="00076AC3" w:rsidP="00471C3D">
      <w:r>
        <w:t xml:space="preserve">The </w:t>
      </w:r>
      <w:r w:rsidR="00026EA6">
        <w:t xml:space="preserve">most recent </w:t>
      </w:r>
      <w:r w:rsidR="005B097B">
        <w:t>JMA 3</w:t>
      </w:r>
      <w:r>
        <w:t xml:space="preserve"> catch limit review</w:t>
      </w:r>
      <w:r w:rsidR="00026EA6">
        <w:t xml:space="preserve">s were undertaken for </w:t>
      </w:r>
      <w:r w:rsidR="0071718C">
        <w:t xml:space="preserve">both </w:t>
      </w:r>
      <w:r w:rsidR="00026EA6">
        <w:t xml:space="preserve">the </w:t>
      </w:r>
      <w:r w:rsidR="0071718C">
        <w:t>1993/94 and</w:t>
      </w:r>
      <w:r w:rsidR="00B37CC4">
        <w:t xml:space="preserve"> </w:t>
      </w:r>
      <w:r>
        <w:t>1994/95</w:t>
      </w:r>
      <w:r w:rsidR="00026EA6">
        <w:t xml:space="preserve"> fishing years</w:t>
      </w:r>
      <w:r>
        <w:t xml:space="preserve">. </w:t>
      </w:r>
      <w:r w:rsidR="0071718C">
        <w:t>Both</w:t>
      </w:r>
      <w:r w:rsidR="00841596">
        <w:t xml:space="preserve"> review</w:t>
      </w:r>
      <w:r w:rsidR="0071718C">
        <w:t xml:space="preserve">s were </w:t>
      </w:r>
      <w:r w:rsidR="00841596">
        <w:t xml:space="preserve">undertaken in response to the influx of </w:t>
      </w:r>
      <w:r w:rsidR="00841596" w:rsidRPr="006029C3">
        <w:rPr>
          <w:i/>
        </w:rPr>
        <w:t>T. murphyi</w:t>
      </w:r>
      <w:r w:rsidR="00FF5B17">
        <w:t>. The catch limit</w:t>
      </w:r>
      <w:r w:rsidR="00841596">
        <w:t xml:space="preserve"> increases in both </w:t>
      </w:r>
      <w:r w:rsidR="009F31AF">
        <w:t>these years</w:t>
      </w:r>
      <w:r w:rsidR="00841596">
        <w:t xml:space="preserve"> were made under the proviso that </w:t>
      </w:r>
      <w:r w:rsidR="00FF5B17">
        <w:t xml:space="preserve">increased catch could only comprise </w:t>
      </w:r>
      <w:r w:rsidR="00FF5B17" w:rsidRPr="006029C3">
        <w:rPr>
          <w:i/>
        </w:rPr>
        <w:t>T. murphyi</w:t>
      </w:r>
      <w:r w:rsidR="00FF5B17">
        <w:t>. Landings of the other two species were not to exceed the earlier 2,700 tonne catch limit.</w:t>
      </w:r>
    </w:p>
    <w:p w14:paraId="7070BC68" w14:textId="77777777" w:rsidR="00026EA6" w:rsidRDefault="00026EA6" w:rsidP="00471C3D"/>
    <w:p w14:paraId="465DD520" w14:textId="7CB808F0" w:rsidR="0071718C" w:rsidRDefault="0071718C" w:rsidP="00471C3D">
      <w:r>
        <w:t xml:space="preserve">Despite the reduced abundance of </w:t>
      </w:r>
      <w:r w:rsidRPr="006029C3">
        <w:rPr>
          <w:i/>
        </w:rPr>
        <w:t>T. murphyi</w:t>
      </w:r>
      <w:r>
        <w:t xml:space="preserve">, and reduced landings of </w:t>
      </w:r>
      <w:r w:rsidR="005B097B">
        <w:t>JMA 3</w:t>
      </w:r>
      <w:r>
        <w:t xml:space="preserve"> since 2000/01, the </w:t>
      </w:r>
      <w:r w:rsidR="005B097B">
        <w:t>JMA 3</w:t>
      </w:r>
      <w:r>
        <w:t xml:space="preserve"> catch limit has not been reviewed since 1994/95.</w:t>
      </w:r>
    </w:p>
    <w:p w14:paraId="7C6AA541" w14:textId="77777777" w:rsidR="00434883" w:rsidRPr="0071718C" w:rsidRDefault="00434883" w:rsidP="00471C3D"/>
    <w:p w14:paraId="18C609C3" w14:textId="5FA1B062" w:rsidR="00471C3D" w:rsidRPr="00FF5B17" w:rsidRDefault="000308AC" w:rsidP="00471C3D">
      <w:pPr>
        <w:pStyle w:val="Heading2"/>
      </w:pPr>
      <w:bookmarkStart w:id="27" w:name="_Toc399138988"/>
      <w:bookmarkStart w:id="28" w:name="_Toc452018139"/>
      <w:r>
        <w:lastRenderedPageBreak/>
        <w:t>New i</w:t>
      </w:r>
      <w:r w:rsidR="00471C3D" w:rsidRPr="00FF5B17">
        <w:t>nformation</w:t>
      </w:r>
      <w:bookmarkEnd w:id="27"/>
      <w:bookmarkEnd w:id="28"/>
      <w:r w:rsidR="00471C3D" w:rsidRPr="00FF5B17">
        <w:t xml:space="preserve"> </w:t>
      </w:r>
    </w:p>
    <w:p w14:paraId="00714F37" w14:textId="0396C9D6" w:rsidR="00471C3D" w:rsidRDefault="00FF5B17" w:rsidP="00471C3D">
      <w:r>
        <w:t xml:space="preserve">The </w:t>
      </w:r>
      <w:r w:rsidR="00B37CC4">
        <w:t>rapid</w:t>
      </w:r>
      <w:r w:rsidR="00A27A60">
        <w:t xml:space="preserve"> influx</w:t>
      </w:r>
      <w:r w:rsidR="0071718C" w:rsidRPr="0071718C">
        <w:t xml:space="preserve"> </w:t>
      </w:r>
      <w:r w:rsidR="0071718C">
        <w:t xml:space="preserve">of </w:t>
      </w:r>
      <w:r w:rsidR="0071718C" w:rsidRPr="006029C3">
        <w:rPr>
          <w:i/>
        </w:rPr>
        <w:t>T. murphyi</w:t>
      </w:r>
      <w:r w:rsidR="006F146F">
        <w:t xml:space="preserve">, </w:t>
      </w:r>
      <w:r w:rsidR="00A27A60">
        <w:t>the decade</w:t>
      </w:r>
      <w:r w:rsidR="006F146F">
        <w:t xml:space="preserve"> of </w:t>
      </w:r>
      <w:r w:rsidR="00A27A60">
        <w:t>increased c</w:t>
      </w:r>
      <w:r w:rsidR="006F146F">
        <w:t>atches</w:t>
      </w:r>
      <w:r w:rsidR="0071718C">
        <w:t xml:space="preserve"> in </w:t>
      </w:r>
      <w:r w:rsidR="005B097B">
        <w:t>JMA 3</w:t>
      </w:r>
      <w:r w:rsidR="00B8482C">
        <w:t xml:space="preserve"> during the 1990s</w:t>
      </w:r>
      <w:r w:rsidR="00A27A60">
        <w:t>,</w:t>
      </w:r>
      <w:r w:rsidR="006F146F">
        <w:t xml:space="preserve"> and </w:t>
      </w:r>
      <w:r w:rsidR="00A27A60">
        <w:t xml:space="preserve">the </w:t>
      </w:r>
      <w:r w:rsidR="006F146F">
        <w:t xml:space="preserve">subsequent </w:t>
      </w:r>
      <w:r w:rsidR="00A27A60">
        <w:t xml:space="preserve">persistence </w:t>
      </w:r>
      <w:r w:rsidR="0071718C">
        <w:t>of the species</w:t>
      </w:r>
      <w:r w:rsidR="00B37CC4">
        <w:t>, albeit</w:t>
      </w:r>
      <w:r w:rsidR="0071718C">
        <w:t xml:space="preserve"> at a </w:t>
      </w:r>
      <w:r w:rsidR="00B37CC4">
        <w:t xml:space="preserve">much </w:t>
      </w:r>
      <w:r w:rsidR="0071718C">
        <w:t>reduced level</w:t>
      </w:r>
      <w:r w:rsidR="00B37CC4">
        <w:t>,</w:t>
      </w:r>
      <w:r w:rsidR="0071718C">
        <w:t xml:space="preserve"> </w:t>
      </w:r>
      <w:r w:rsidR="006F146F">
        <w:t xml:space="preserve">in New Zealand waters </w:t>
      </w:r>
      <w:r w:rsidR="00A27A60">
        <w:t>is well documented.</w:t>
      </w:r>
    </w:p>
    <w:p w14:paraId="15F8AE80" w14:textId="77777777" w:rsidR="0071718C" w:rsidRDefault="0071718C" w:rsidP="00471C3D"/>
    <w:p w14:paraId="0B3BD70B" w14:textId="77777777" w:rsidR="00084F7E" w:rsidRPr="009E7B0C" w:rsidRDefault="0071718C" w:rsidP="00471C3D">
      <w:r>
        <w:t>There is no stock assess</w:t>
      </w:r>
      <w:r w:rsidR="00B222CF">
        <w:t>ment information for the two native species</w:t>
      </w:r>
      <w:r>
        <w:t xml:space="preserve"> of jack mackerel in </w:t>
      </w:r>
      <w:r w:rsidR="005B097B">
        <w:t>JMA 3</w:t>
      </w:r>
      <w:r>
        <w:t xml:space="preserve">. </w:t>
      </w:r>
      <w:r w:rsidR="009B04EA">
        <w:t xml:space="preserve">The wider South Pacific </w:t>
      </w:r>
      <w:r w:rsidR="009B04EA" w:rsidRPr="006029C3">
        <w:rPr>
          <w:i/>
        </w:rPr>
        <w:t>T. murphyi</w:t>
      </w:r>
      <w:r w:rsidR="009B04EA">
        <w:t xml:space="preserve"> stock is managed by the South Pacific Regional Fisheries Management Organisation (SPFRMO). A stock assessment for </w:t>
      </w:r>
      <w:r w:rsidR="009B04EA" w:rsidRPr="006029C3">
        <w:rPr>
          <w:i/>
        </w:rPr>
        <w:t xml:space="preserve">T. </w:t>
      </w:r>
      <w:r w:rsidR="009B04EA">
        <w:rPr>
          <w:i/>
        </w:rPr>
        <w:t xml:space="preserve">murphyi </w:t>
      </w:r>
      <w:r w:rsidR="009B04EA">
        <w:t>of the South Eastern Pacific Ocean was carried out on behalf of SPRFMO</w:t>
      </w:r>
      <w:r w:rsidR="00044375">
        <w:t xml:space="preserve"> using data up to</w:t>
      </w:r>
      <w:r w:rsidR="009B04EA">
        <w:t xml:space="preserve"> 2013. </w:t>
      </w:r>
      <w:r w:rsidR="00B47468">
        <w:t xml:space="preserve">The assessment indicated that biomass of </w:t>
      </w:r>
      <w:r w:rsidR="00B47468" w:rsidRPr="006029C3">
        <w:rPr>
          <w:i/>
        </w:rPr>
        <w:t>T. murphyi</w:t>
      </w:r>
      <w:r w:rsidR="00B47468">
        <w:rPr>
          <w:i/>
        </w:rPr>
        <w:t xml:space="preserve"> </w:t>
      </w:r>
      <w:r w:rsidR="00B47468">
        <w:t>in 2013</w:t>
      </w:r>
      <w:r w:rsidR="00044375">
        <w:t xml:space="preserve"> </w:t>
      </w:r>
      <w:r w:rsidR="00B47468">
        <w:t>was 14% B</w:t>
      </w:r>
      <w:r w:rsidR="00B47468" w:rsidRPr="00B47468">
        <w:rPr>
          <w:vertAlign w:val="subscript"/>
        </w:rPr>
        <w:t>0</w:t>
      </w:r>
      <w:r w:rsidR="00B47468">
        <w:t>, after reaching</w:t>
      </w:r>
      <w:r w:rsidR="00F85CAF">
        <w:t xml:space="preserve"> a low of</w:t>
      </w:r>
      <w:r w:rsidR="00B47468">
        <w:t xml:space="preserve"> 5% B</w:t>
      </w:r>
      <w:r w:rsidR="00B47468" w:rsidRPr="00B47468">
        <w:rPr>
          <w:vertAlign w:val="subscript"/>
        </w:rPr>
        <w:t>0</w:t>
      </w:r>
      <w:r w:rsidR="00B47468">
        <w:t xml:space="preserve"> in 2010.</w:t>
      </w:r>
      <w:r w:rsidR="00FE1641">
        <w:t xml:space="preserve"> </w:t>
      </w:r>
      <w:r w:rsidR="00084F7E" w:rsidRPr="009E7B0C">
        <w:t xml:space="preserve">This stock status is below the soft limit set out in the Harvest Strategy Standard (Table 2). </w:t>
      </w:r>
    </w:p>
    <w:p w14:paraId="78CF1CCC" w14:textId="77777777" w:rsidR="00084F7E" w:rsidRPr="009E7B0C" w:rsidRDefault="00084F7E" w:rsidP="00471C3D"/>
    <w:p w14:paraId="004B1CDA" w14:textId="0C190217" w:rsidR="0071718C" w:rsidRDefault="00FE1641" w:rsidP="00471C3D">
      <w:r w:rsidRPr="009E7B0C">
        <w:t xml:space="preserve">While the </w:t>
      </w:r>
      <w:r w:rsidRPr="009E7B0C">
        <w:rPr>
          <w:i/>
        </w:rPr>
        <w:t>T. murphyi</w:t>
      </w:r>
      <w:r w:rsidRPr="009E7B0C">
        <w:t xml:space="preserve"> stock in JMA 3 </w:t>
      </w:r>
      <w:r w:rsidR="00084F7E" w:rsidRPr="009E7B0C">
        <w:t xml:space="preserve">is not solely New Zealand’s management responsibility considering its wide distribution across the southern Pacific, it is nevertheless caught by the New Zealand fleet and JMA 3 catches are likely contributing to mortality in this stock, which is now much declined throughout its range. Considering the principles of the Harvest Strategy Standard, JMA 3 catch limits should be lowered to reduce fishing mortality in </w:t>
      </w:r>
      <w:r w:rsidR="00084F7E" w:rsidRPr="009E7B0C">
        <w:rPr>
          <w:i/>
        </w:rPr>
        <w:t>T. murphyi.</w:t>
      </w:r>
    </w:p>
    <w:p w14:paraId="5C9E8696" w14:textId="77777777" w:rsidR="00B47468" w:rsidRDefault="00B47468" w:rsidP="00471C3D"/>
    <w:p w14:paraId="489E1135" w14:textId="42CEAEB6" w:rsidR="00B47468" w:rsidRDefault="00044375" w:rsidP="00471C3D">
      <w:r>
        <w:t xml:space="preserve">The influx of </w:t>
      </w:r>
      <w:r w:rsidRPr="006029C3">
        <w:rPr>
          <w:i/>
        </w:rPr>
        <w:t>T. murphyi</w:t>
      </w:r>
      <w:r>
        <w:t xml:space="preserve"> and </w:t>
      </w:r>
      <w:r w:rsidR="002C63E2">
        <w:t xml:space="preserve">the decade of </w:t>
      </w:r>
      <w:r>
        <w:t xml:space="preserve">increased </w:t>
      </w:r>
      <w:r w:rsidR="002C63E2">
        <w:t xml:space="preserve">landings of </w:t>
      </w:r>
      <w:r w:rsidR="005B097B">
        <w:t>JMA 3</w:t>
      </w:r>
      <w:r>
        <w:t xml:space="preserve"> during the 1990s occurred during a period of </w:t>
      </w:r>
      <w:r w:rsidR="002C63E2">
        <w:t>sustained</w:t>
      </w:r>
      <w:r>
        <w:t xml:space="preserve"> </w:t>
      </w:r>
      <w:r w:rsidR="002C63E2">
        <w:t xml:space="preserve">high </w:t>
      </w:r>
      <w:r>
        <w:t xml:space="preserve">abundance of this </w:t>
      </w:r>
      <w:r w:rsidR="002C63E2">
        <w:t>species in the South Pacific</w:t>
      </w:r>
      <w:r w:rsidR="00C401D2">
        <w:t xml:space="preserve"> (see Figure 3 below)</w:t>
      </w:r>
      <w:r w:rsidR="002C63E2">
        <w:t>. With current biomass in t</w:t>
      </w:r>
      <w:r w:rsidR="00B8482C">
        <w:t xml:space="preserve">he South Pacific at low levels, </w:t>
      </w:r>
      <w:r w:rsidR="009A5A90">
        <w:t xml:space="preserve">maintaining a catch </w:t>
      </w:r>
      <w:r w:rsidR="00115D82">
        <w:t xml:space="preserve">limit </w:t>
      </w:r>
      <w:r w:rsidR="009A5A90">
        <w:t xml:space="preserve">that was set at the peak of </w:t>
      </w:r>
      <w:r w:rsidR="009A5A90" w:rsidRPr="006029C3">
        <w:rPr>
          <w:i/>
        </w:rPr>
        <w:t>T. murphyi</w:t>
      </w:r>
      <w:r w:rsidR="009A5A90">
        <w:t xml:space="preserve"> </w:t>
      </w:r>
      <w:r w:rsidR="00B8482C">
        <w:t>abundance</w:t>
      </w:r>
      <w:r w:rsidR="009A5A90">
        <w:t xml:space="preserve"> is not considered appropriate. </w:t>
      </w:r>
    </w:p>
    <w:p w14:paraId="0C6EE087" w14:textId="77777777" w:rsidR="00267E51" w:rsidRDefault="00267E51" w:rsidP="00471C3D"/>
    <w:p w14:paraId="14A864B3" w14:textId="1491FF08" w:rsidR="00267E51" w:rsidRDefault="005C1F1A" w:rsidP="005C1F1A">
      <w:pPr>
        <w:jc w:val="center"/>
      </w:pPr>
      <w:r>
        <w:rPr>
          <w:noProof/>
          <w:lang w:eastAsia="en-NZ"/>
        </w:rPr>
        <w:drawing>
          <wp:inline distT="0" distB="0" distL="0" distR="0" wp14:anchorId="3FF19898" wp14:editId="3277CC05">
            <wp:extent cx="316230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62300" cy="2019300"/>
                    </a:xfrm>
                    <a:prstGeom prst="rect">
                      <a:avLst/>
                    </a:prstGeom>
                  </pic:spPr>
                </pic:pic>
              </a:graphicData>
            </a:graphic>
          </wp:inline>
        </w:drawing>
      </w:r>
    </w:p>
    <w:p w14:paraId="621C8E07" w14:textId="70A12428" w:rsidR="00C401D2" w:rsidRPr="002C345D" w:rsidRDefault="00267E51" w:rsidP="00C401D2">
      <w:pPr>
        <w:rPr>
          <w:rFonts w:ascii="Arial Narrow" w:hAnsi="Arial Narrow"/>
          <w:b/>
        </w:rPr>
      </w:pPr>
      <w:r w:rsidRPr="002C345D">
        <w:rPr>
          <w:rFonts w:ascii="Arial Narrow" w:hAnsi="Arial Narrow"/>
          <w:b/>
        </w:rPr>
        <w:t xml:space="preserve">Figure 3. Diagram showing </w:t>
      </w:r>
      <w:r w:rsidR="005C1F1A" w:rsidRPr="002C345D">
        <w:rPr>
          <w:rFonts w:ascii="Arial Narrow" w:hAnsi="Arial Narrow"/>
          <w:b/>
        </w:rPr>
        <w:t>population estimate of jack mackerel</w:t>
      </w:r>
      <w:r w:rsidRPr="002C345D">
        <w:rPr>
          <w:rFonts w:ascii="Arial Narrow" w:hAnsi="Arial Narrow"/>
          <w:b/>
        </w:rPr>
        <w:t xml:space="preserve"> </w:t>
      </w:r>
      <w:r w:rsidR="005C1F1A" w:rsidRPr="002C345D">
        <w:rPr>
          <w:rFonts w:ascii="Arial Narrow" w:hAnsi="Arial Narrow"/>
          <w:b/>
        </w:rPr>
        <w:t>in the</w:t>
      </w:r>
      <w:r w:rsidR="00C401D2" w:rsidRPr="002C345D">
        <w:rPr>
          <w:rFonts w:ascii="Arial Narrow" w:hAnsi="Arial Narrow"/>
          <w:b/>
        </w:rPr>
        <w:t xml:space="preserve"> South Eastern Pacific between 197</w:t>
      </w:r>
      <w:r w:rsidR="005C1F1A" w:rsidRPr="002C345D">
        <w:rPr>
          <w:rFonts w:ascii="Arial Narrow" w:hAnsi="Arial Narrow"/>
          <w:b/>
        </w:rPr>
        <w:t>0</w:t>
      </w:r>
      <w:r w:rsidR="00C401D2" w:rsidRPr="002C345D">
        <w:rPr>
          <w:rFonts w:ascii="Arial Narrow" w:hAnsi="Arial Narrow"/>
          <w:b/>
        </w:rPr>
        <w:t xml:space="preserve"> and 201</w:t>
      </w:r>
      <w:r w:rsidR="005C1F1A" w:rsidRPr="002C345D">
        <w:rPr>
          <w:rFonts w:ascii="Arial Narrow" w:hAnsi="Arial Narrow"/>
          <w:b/>
        </w:rPr>
        <w:t xml:space="preserve">4 (total biomass in thousands of tonnes) </w:t>
      </w:r>
      <w:r w:rsidR="00C401D2" w:rsidRPr="002C345D">
        <w:rPr>
          <w:rStyle w:val="FootnoteReference"/>
          <w:rFonts w:ascii="Arial Narrow" w:hAnsi="Arial Narrow"/>
          <w:b/>
        </w:rPr>
        <w:footnoteReference w:id="3"/>
      </w:r>
    </w:p>
    <w:p w14:paraId="6C898B84" w14:textId="77777777" w:rsidR="00267E51" w:rsidRPr="00044375" w:rsidRDefault="00267E51" w:rsidP="00471C3D"/>
    <w:p w14:paraId="7306ED3A" w14:textId="77777777" w:rsidR="00471C3D" w:rsidRDefault="00471C3D" w:rsidP="00471C3D">
      <w:pPr>
        <w:pStyle w:val="Heading1"/>
      </w:pPr>
      <w:bookmarkStart w:id="29" w:name="_Toc399138989"/>
      <w:bookmarkStart w:id="30" w:name="_Toc452018140"/>
      <w:r>
        <w:t>Legal Considerations</w:t>
      </w:r>
      <w:bookmarkEnd w:id="29"/>
      <w:bookmarkEnd w:id="30"/>
    </w:p>
    <w:p w14:paraId="6BC7B524" w14:textId="1BEC2D44" w:rsidR="00471C3D" w:rsidRPr="00B222CF" w:rsidRDefault="001D20CB" w:rsidP="00471C3D">
      <w:pPr>
        <w:pStyle w:val="Heading2"/>
      </w:pPr>
      <w:bookmarkStart w:id="31" w:name="_Toc452018141"/>
      <w:bookmarkStart w:id="32" w:name="_Toc399138990"/>
      <w:r>
        <w:t>S</w:t>
      </w:r>
      <w:r w:rsidR="00B222CF" w:rsidRPr="00B222CF">
        <w:t xml:space="preserve">etting </w:t>
      </w:r>
      <w:r w:rsidR="000308AC">
        <w:t>management m</w:t>
      </w:r>
      <w:r w:rsidR="00471C3D" w:rsidRPr="00B222CF">
        <w:t>easures</w:t>
      </w:r>
      <w:bookmarkEnd w:id="31"/>
      <w:r w:rsidR="00471C3D" w:rsidRPr="00B222CF">
        <w:t xml:space="preserve"> </w:t>
      </w:r>
      <w:bookmarkEnd w:id="32"/>
    </w:p>
    <w:p w14:paraId="31610D9E" w14:textId="7FBB68EC" w:rsidR="002C5788" w:rsidRDefault="00207B8A" w:rsidP="00207B8A">
      <w:r>
        <w:t>B</w:t>
      </w:r>
      <w:r w:rsidR="00987142">
        <w:t xml:space="preserve">iomass </w:t>
      </w:r>
      <w:r>
        <w:t>information for</w:t>
      </w:r>
      <w:r w:rsidR="00987142">
        <w:t xml:space="preserve"> </w:t>
      </w:r>
      <w:r w:rsidR="00987142" w:rsidRPr="006029C3">
        <w:rPr>
          <w:i/>
        </w:rPr>
        <w:t>T. murphyi</w:t>
      </w:r>
      <w:r w:rsidR="00987142">
        <w:t xml:space="preserve"> </w:t>
      </w:r>
      <w:r w:rsidR="00592333">
        <w:t xml:space="preserve">in the South Pacific </w:t>
      </w:r>
      <w:r>
        <w:t>is available. There is, however, no stock assessment information for the two native species of jack mackerel</w:t>
      </w:r>
      <w:r w:rsidR="002C5788">
        <w:t xml:space="preserve"> and no information for the component of the </w:t>
      </w:r>
      <w:r w:rsidR="002C5788" w:rsidRPr="006029C3">
        <w:rPr>
          <w:i/>
        </w:rPr>
        <w:t>T. murphyi</w:t>
      </w:r>
      <w:r w:rsidR="002C5788">
        <w:t xml:space="preserve"> stock present in </w:t>
      </w:r>
      <w:r w:rsidR="005B097B">
        <w:t>JMA 3</w:t>
      </w:r>
      <w:r>
        <w:t>.</w:t>
      </w:r>
      <w:r w:rsidR="002C5788">
        <w:t xml:space="preserve"> For this reason, a</w:t>
      </w:r>
      <w:r>
        <w:t xml:space="preserve"> TAC for </w:t>
      </w:r>
      <w:r w:rsidR="005B097B">
        <w:t>JMA 3</w:t>
      </w:r>
      <w:r>
        <w:t xml:space="preserve"> would be set under section 13(2A) of the Fisheries Act 1996 (the Act). </w:t>
      </w:r>
      <w:r w:rsidR="002C5788">
        <w:t>This section is relevant for stocks for which the MSY is not able to be reliably estimated using the best available information.</w:t>
      </w:r>
    </w:p>
    <w:p w14:paraId="0339A9F0" w14:textId="77777777" w:rsidR="002C5788" w:rsidRDefault="002C5788" w:rsidP="00207B8A"/>
    <w:p w14:paraId="68B913C3" w14:textId="6A4B15E7" w:rsidR="00592333" w:rsidRPr="002C5788" w:rsidRDefault="002C5788" w:rsidP="00592333">
      <w:r>
        <w:lastRenderedPageBreak/>
        <w:t>S</w:t>
      </w:r>
      <w:r w:rsidR="00207B8A">
        <w:t xml:space="preserve">ection </w:t>
      </w:r>
      <w:r>
        <w:t xml:space="preserve">13(2A) </w:t>
      </w:r>
      <w:r w:rsidR="00207B8A">
        <w:t xml:space="preserve">requires the Minister for Primary Industries (the Minister) to set a TAC that is not inconsistent with the objective of maintaining the stock at or above, or moving the stock towards or above, a level that can produce the maximum sustainable yield (MSY). </w:t>
      </w:r>
      <w:r w:rsidR="00592333" w:rsidRPr="00F86130">
        <w:rPr>
          <w:kern w:val="36"/>
        </w:rPr>
        <w:t>Th</w:t>
      </w:r>
      <w:r w:rsidR="003E686C">
        <w:rPr>
          <w:kern w:val="36"/>
        </w:rPr>
        <w:t>is</w:t>
      </w:r>
      <w:r w:rsidR="00592333" w:rsidRPr="00F86130">
        <w:rPr>
          <w:kern w:val="36"/>
        </w:rPr>
        <w:t xml:space="preserve"> paper </w:t>
      </w:r>
      <w:r w:rsidR="003E686C">
        <w:rPr>
          <w:kern w:val="36"/>
        </w:rPr>
        <w:t>sets out options for t</w:t>
      </w:r>
      <w:r w:rsidR="00592333" w:rsidRPr="00F86130">
        <w:rPr>
          <w:kern w:val="36"/>
        </w:rPr>
        <w:t xml:space="preserve">he Minister </w:t>
      </w:r>
      <w:r w:rsidR="003E686C">
        <w:rPr>
          <w:kern w:val="36"/>
        </w:rPr>
        <w:t>in setting a TAC.</w:t>
      </w:r>
      <w:r w:rsidR="00592333">
        <w:rPr>
          <w:kern w:val="36"/>
        </w:rPr>
        <w:t xml:space="preserve"> </w:t>
      </w:r>
      <w:r w:rsidR="006C5579" w:rsidRPr="009E7B0C">
        <w:rPr>
          <w:kern w:val="36"/>
        </w:rPr>
        <w:t xml:space="preserve">Given the nature of the fishery, </w:t>
      </w:r>
      <w:r w:rsidR="00371518" w:rsidRPr="009E7B0C">
        <w:rPr>
          <w:kern w:val="36"/>
        </w:rPr>
        <w:t xml:space="preserve">including the uncertainty surrounding the stock status of the three jack mackerel species in JMA 3 and the decline of </w:t>
      </w:r>
      <w:r w:rsidR="00371518" w:rsidRPr="009E7B0C">
        <w:rPr>
          <w:i/>
        </w:rPr>
        <w:t>T. murphyi</w:t>
      </w:r>
      <w:r w:rsidR="00371518" w:rsidRPr="009E7B0C">
        <w:rPr>
          <w:kern w:val="36"/>
        </w:rPr>
        <w:t xml:space="preserve">, and the </w:t>
      </w:r>
      <w:r w:rsidR="006C5579" w:rsidRPr="009E7B0C">
        <w:rPr>
          <w:kern w:val="36"/>
        </w:rPr>
        <w:t xml:space="preserve">large decreases proposed, MPI considers that options to set a TAC and decrease the TACC for JMA 3 are not inconsistent with the objective outlined above. </w:t>
      </w:r>
    </w:p>
    <w:p w14:paraId="1F3817CD" w14:textId="77777777" w:rsidR="00592333" w:rsidRDefault="00592333" w:rsidP="00471C3D"/>
    <w:p w14:paraId="45F5E5E5" w14:textId="34C2FA55" w:rsidR="00F0105B" w:rsidRPr="00F86130" w:rsidRDefault="00F0105B" w:rsidP="00F0105B">
      <w:r w:rsidRPr="00F86130">
        <w:t xml:space="preserve">Under section 13(3) of the Act, </w:t>
      </w:r>
      <w:r w:rsidR="003E686C" w:rsidRPr="00F86130">
        <w:t>the Minister</w:t>
      </w:r>
      <w:r w:rsidR="003E686C">
        <w:t xml:space="preserve"> must consider</w:t>
      </w:r>
      <w:r w:rsidR="003E686C" w:rsidRPr="00F86130">
        <w:t xml:space="preserve"> </w:t>
      </w:r>
      <w:r w:rsidRPr="00F86130">
        <w:t>relevant social, cultural and economic considerations in determining an appropriate way and rate to move the stock towards or above a l</w:t>
      </w:r>
      <w:r>
        <w:t>evel that can produce the MSY.</w:t>
      </w:r>
    </w:p>
    <w:p w14:paraId="0581548B" w14:textId="77777777" w:rsidR="00F0105B" w:rsidRPr="00F86130" w:rsidRDefault="00F0105B" w:rsidP="00F0105B">
      <w:pPr>
        <w:rPr>
          <w:b/>
        </w:rPr>
      </w:pPr>
    </w:p>
    <w:p w14:paraId="4D94FD83" w14:textId="2F201E44" w:rsidR="00F0105B" w:rsidRPr="00F86130" w:rsidRDefault="00F0105B" w:rsidP="00F0105B">
      <w:r w:rsidRPr="00F86130">
        <w:t>The TAC must be apportioned between the relevant sectors and interests set out under the provis</w:t>
      </w:r>
      <w:r>
        <w:t xml:space="preserve">ions of section 21 of the Act. </w:t>
      </w:r>
      <w:r w:rsidRPr="00F86130">
        <w:t xml:space="preserve">Section 21 requires the Minister to allow for </w:t>
      </w:r>
      <w:r w:rsidR="000F4CDF">
        <w:t>Māori</w:t>
      </w:r>
      <w:r w:rsidRPr="00F86130">
        <w:t xml:space="preserve"> customary non-commercial interests, recreational fishing interests, and for any other sources of fishing-related mortality, when setting or varying the TACC.</w:t>
      </w:r>
      <w:r w:rsidRPr="0095496E">
        <w:t xml:space="preserve"> </w:t>
      </w:r>
    </w:p>
    <w:p w14:paraId="67CE5A16" w14:textId="77777777" w:rsidR="00F0105B" w:rsidRPr="00F86130" w:rsidRDefault="00F0105B" w:rsidP="00F0105B"/>
    <w:p w14:paraId="788C8FC5" w14:textId="53901AF6" w:rsidR="00717C57" w:rsidRPr="00717C57" w:rsidRDefault="00717C57" w:rsidP="00F0105B">
      <w:pPr>
        <w:rPr>
          <w:szCs w:val="24"/>
        </w:rPr>
      </w:pPr>
      <w:r w:rsidRPr="00722B0C">
        <w:rPr>
          <w:szCs w:val="24"/>
        </w:rPr>
        <w:t xml:space="preserve">Section 12 (1)(b) of the Act requires that the Minister provide for the input and participation of tangata whenua and have particular regard to kaitiakitanga before setting or varying a TAC. MPI </w:t>
      </w:r>
      <w:r w:rsidRPr="008F2F80">
        <w:rPr>
          <w:szCs w:val="24"/>
        </w:rPr>
        <w:t>will provide</w:t>
      </w:r>
      <w:r w:rsidRPr="00722B0C">
        <w:rPr>
          <w:szCs w:val="24"/>
        </w:rPr>
        <w:t xml:space="preserve"> relevant Fisheries Forums opportunity for engagement on the proposed options.</w:t>
      </w:r>
    </w:p>
    <w:p w14:paraId="43746104" w14:textId="77777777" w:rsidR="00717C57" w:rsidRDefault="00717C57" w:rsidP="00F0105B"/>
    <w:p w14:paraId="7262F37A" w14:textId="73EFD1F8" w:rsidR="00F0105B" w:rsidRPr="00F86130" w:rsidRDefault="00F0105B" w:rsidP="00F0105B">
      <w:r>
        <w:t>R</w:t>
      </w:r>
      <w:r w:rsidRPr="00F86130">
        <w:t xml:space="preserve">ecreational </w:t>
      </w:r>
      <w:r>
        <w:t xml:space="preserve">and customary </w:t>
      </w:r>
      <w:r w:rsidR="000F4CDF">
        <w:t>Māori</w:t>
      </w:r>
      <w:r>
        <w:t xml:space="preserve"> catch are not well known, though are thought to be small in </w:t>
      </w:r>
      <w:r w:rsidR="005B097B">
        <w:t>JMA 3</w:t>
      </w:r>
      <w:r>
        <w:t xml:space="preserve">. For all options </w:t>
      </w:r>
      <w:r w:rsidRPr="00F86130">
        <w:t xml:space="preserve">MPI proposes </w:t>
      </w:r>
      <w:r>
        <w:t>20 tonne</w:t>
      </w:r>
      <w:r w:rsidRPr="00F86130">
        <w:t xml:space="preserve"> allowances for these sector groups.</w:t>
      </w:r>
    </w:p>
    <w:p w14:paraId="59238854" w14:textId="77777777" w:rsidR="00F0105B" w:rsidRPr="00F86130" w:rsidRDefault="00F0105B" w:rsidP="00F0105B"/>
    <w:p w14:paraId="4331E5D8" w14:textId="17B07FE4" w:rsidR="00592333" w:rsidRDefault="00F0105B" w:rsidP="00F0105B">
      <w:r>
        <w:t>In similar trawl fisheries an</w:t>
      </w:r>
      <w:r w:rsidRPr="00F86130">
        <w:t xml:space="preserve"> allowance of 2% of the TAC</w:t>
      </w:r>
      <w:r w:rsidR="00D24B57">
        <w:t>C</w:t>
      </w:r>
      <w:r w:rsidRPr="00F86130">
        <w:t xml:space="preserve"> exists to account for other sources</w:t>
      </w:r>
      <w:r>
        <w:t xml:space="preserve"> of fishing related mortality. </w:t>
      </w:r>
      <w:r w:rsidRPr="00F86130">
        <w:t xml:space="preserve">MPI proposes to </w:t>
      </w:r>
      <w:r>
        <w:t xml:space="preserve">incorporate </w:t>
      </w:r>
      <w:r w:rsidRPr="00F86130">
        <w:t xml:space="preserve">this allowance </w:t>
      </w:r>
      <w:r>
        <w:t>into all options</w:t>
      </w:r>
      <w:r w:rsidRPr="00F86130">
        <w:t>.</w:t>
      </w:r>
    </w:p>
    <w:p w14:paraId="010D75BE" w14:textId="77777777" w:rsidR="00434883" w:rsidRPr="00592333" w:rsidRDefault="00434883" w:rsidP="00F0105B"/>
    <w:p w14:paraId="6C4B5573" w14:textId="3418C891" w:rsidR="00471C3D" w:rsidRPr="00F0105B" w:rsidRDefault="001D20CB" w:rsidP="00471C3D">
      <w:pPr>
        <w:pStyle w:val="Heading2"/>
      </w:pPr>
      <w:bookmarkStart w:id="33" w:name="_Toc399138991"/>
      <w:bookmarkStart w:id="34" w:name="_Toc452018142"/>
      <w:r>
        <w:t>F</w:t>
      </w:r>
      <w:r w:rsidR="004945C1">
        <w:t>urther</w:t>
      </w:r>
      <w:r w:rsidR="000308AC">
        <w:t xml:space="preserve"> c</w:t>
      </w:r>
      <w:r w:rsidR="00471C3D" w:rsidRPr="00F0105B">
        <w:t>onsiderations</w:t>
      </w:r>
      <w:bookmarkEnd w:id="33"/>
      <w:bookmarkEnd w:id="34"/>
    </w:p>
    <w:p w14:paraId="211A0FA5" w14:textId="77777777" w:rsidR="00F0105B" w:rsidRPr="002E5F73" w:rsidRDefault="00F0105B" w:rsidP="00F0105B">
      <w:r w:rsidRPr="002E5F73">
        <w:t>When making a decision concerning the TAC for a stock, the Minister</w:t>
      </w:r>
      <w:r>
        <w:t xml:space="preserve"> </w:t>
      </w:r>
      <w:r w:rsidRPr="002E5F73">
        <w:t xml:space="preserve">must have regard to interdependence of stocks, the biological characteristics (discussed above) and any environmental conditions affecting the stock. </w:t>
      </w:r>
    </w:p>
    <w:p w14:paraId="7FD6F1F2" w14:textId="77777777" w:rsidR="00F0105B" w:rsidRPr="002E5F73" w:rsidRDefault="00F0105B" w:rsidP="00F0105B"/>
    <w:p w14:paraId="740CDC47" w14:textId="77777777" w:rsidR="00F0105B" w:rsidRPr="002E5F73" w:rsidRDefault="00F0105B" w:rsidP="00F0105B">
      <w:r w:rsidRPr="002E5F73">
        <w:t xml:space="preserve">Sections 9(a) and (b) </w:t>
      </w:r>
      <w:r>
        <w:t xml:space="preserve">of the Act </w:t>
      </w:r>
      <w:r w:rsidRPr="002E5F73">
        <w:t>also require the Minister to take into account that associated or dependent species be maintained at or above a level that ensures their long-term viability, and that the biological diversity of the aquatic environment should be maintained.</w:t>
      </w:r>
    </w:p>
    <w:p w14:paraId="2C6B8A4D" w14:textId="77777777" w:rsidR="00471C3D" w:rsidRPr="00F0105B" w:rsidRDefault="00471C3D" w:rsidP="00471C3D"/>
    <w:p w14:paraId="34A58537" w14:textId="1BE0614B" w:rsidR="004412A2" w:rsidRDefault="00F0105B" w:rsidP="00F0105B">
      <w:r w:rsidRPr="002E5F73">
        <w:t xml:space="preserve">The key environmental interactions associated with the </w:t>
      </w:r>
      <w:r w:rsidR="005B097B">
        <w:t>JMA 3</w:t>
      </w:r>
      <w:r>
        <w:t xml:space="preserve"> </w:t>
      </w:r>
      <w:r w:rsidRPr="002E5F73">
        <w:t>fishery are discussed below with reference to the likely impacts of the proposed management options.</w:t>
      </w:r>
    </w:p>
    <w:p w14:paraId="75FCDF3F" w14:textId="77777777" w:rsidR="00434883" w:rsidRDefault="00434883" w:rsidP="00F0105B"/>
    <w:p w14:paraId="4CF44F45" w14:textId="77777777" w:rsidR="004412A2" w:rsidRDefault="004412A2" w:rsidP="004412A2">
      <w:pPr>
        <w:pStyle w:val="Heading3"/>
      </w:pPr>
      <w:r>
        <w:t>Seabirds</w:t>
      </w:r>
    </w:p>
    <w:p w14:paraId="6F4E1CC9" w14:textId="77777777" w:rsidR="00A30C8F" w:rsidRDefault="00A30C8F" w:rsidP="00A30C8F">
      <w:r w:rsidRPr="00AA550D">
        <w:rPr>
          <w:lang w:val="en-GB"/>
        </w:rPr>
        <w:t>Management of seabird interactions with New Zealand’s commercial fisheries is driven through the 2013 National Plan of Action to Reduce the Incidental Captures of Seabirds</w:t>
      </w:r>
      <w:r>
        <w:rPr>
          <w:lang w:val="en-GB"/>
        </w:rPr>
        <w:t xml:space="preserve"> in New Zealand fisheries (NPOA Seabirds). The NPOA Seabirds reflects New Zealand’s obligations under customary international law to take into account the effects of fishing on associated species such as seabirds.</w:t>
      </w:r>
    </w:p>
    <w:p w14:paraId="381D508F" w14:textId="77777777" w:rsidR="00A30C8F" w:rsidRDefault="00A30C8F" w:rsidP="004412A2">
      <w:pPr>
        <w:rPr>
          <w:lang w:val="en-GB"/>
        </w:rPr>
      </w:pPr>
    </w:p>
    <w:p w14:paraId="5391DE0F" w14:textId="1938EE5E" w:rsidR="004412A2" w:rsidRPr="00AA550D" w:rsidRDefault="004412A2" w:rsidP="004412A2">
      <w:pPr>
        <w:rPr>
          <w:lang w:val="en-GB"/>
        </w:rPr>
      </w:pPr>
      <w:r w:rsidRPr="00AA550D">
        <w:rPr>
          <w:lang w:val="en-GB"/>
        </w:rPr>
        <w:lastRenderedPageBreak/>
        <w:t>The NPOA</w:t>
      </w:r>
      <w:r w:rsidR="004741D6">
        <w:rPr>
          <w:lang w:val="en-GB"/>
        </w:rPr>
        <w:t xml:space="preserve"> </w:t>
      </w:r>
      <w:r w:rsidRPr="00AA550D">
        <w:rPr>
          <w:lang w:val="en-GB"/>
        </w:rPr>
        <w:t>Seabirds has established a risk-based approach to managing fishing interactions with seabirds, targeting management actio</w:t>
      </w:r>
      <w:r>
        <w:rPr>
          <w:lang w:val="en-GB"/>
        </w:rPr>
        <w:t>ns at the species most at risk as a priority but also aiming to minimise captures of all species to the extent practicable</w:t>
      </w:r>
      <w:r w:rsidRPr="00AA550D">
        <w:rPr>
          <w:lang w:val="en-GB"/>
        </w:rPr>
        <w:t xml:space="preserve">. </w:t>
      </w:r>
    </w:p>
    <w:p w14:paraId="1E00D70B" w14:textId="77777777" w:rsidR="004412A2" w:rsidRPr="00AA550D" w:rsidRDefault="004412A2" w:rsidP="004412A2">
      <w:pPr>
        <w:rPr>
          <w:lang w:val="en-GB"/>
        </w:rPr>
      </w:pPr>
    </w:p>
    <w:p w14:paraId="21468290" w14:textId="6B9434BF" w:rsidR="00703CEE" w:rsidRDefault="004412A2" w:rsidP="004412A2">
      <w:pPr>
        <w:rPr>
          <w:szCs w:val="24"/>
          <w:lang w:val="en-GB"/>
        </w:rPr>
      </w:pPr>
      <w:r>
        <w:rPr>
          <w:lang w:val="en-GB"/>
        </w:rPr>
        <w:t>The level of risk from commercial fishing to individual seabird species has been identified through a comprehensive hierarchical risk ass</w:t>
      </w:r>
      <w:r w:rsidR="00FA09EE">
        <w:rPr>
          <w:lang w:val="en-GB"/>
        </w:rPr>
        <w:t xml:space="preserve">essment that underpins the NPOA </w:t>
      </w:r>
      <w:r>
        <w:rPr>
          <w:lang w:val="en-GB"/>
        </w:rPr>
        <w:t xml:space="preserve">Seabirds. </w:t>
      </w:r>
      <w:r w:rsidR="00D24B57">
        <w:rPr>
          <w:lang w:val="en-GB"/>
        </w:rPr>
        <w:t xml:space="preserve">Seabird interactions </w:t>
      </w:r>
      <w:r w:rsidR="00D24B57" w:rsidRPr="002E5F73">
        <w:rPr>
          <w:lang w:val="en-GB"/>
        </w:rPr>
        <w:t xml:space="preserve">are </w:t>
      </w:r>
      <w:r w:rsidR="00D24B57" w:rsidRPr="005D7242">
        <w:rPr>
          <w:szCs w:val="24"/>
          <w:lang w:val="en-GB"/>
        </w:rPr>
        <w:t>known to occur</w:t>
      </w:r>
      <w:r w:rsidR="00D24B57">
        <w:rPr>
          <w:lang w:val="en-GB"/>
        </w:rPr>
        <w:t xml:space="preserve"> </w:t>
      </w:r>
      <w:r>
        <w:rPr>
          <w:lang w:val="en-GB"/>
        </w:rPr>
        <w:t xml:space="preserve">with </w:t>
      </w:r>
      <w:r w:rsidR="005B097B">
        <w:rPr>
          <w:lang w:val="en-GB"/>
        </w:rPr>
        <w:t>JMA 3</w:t>
      </w:r>
      <w:r>
        <w:rPr>
          <w:lang w:val="en-GB"/>
        </w:rPr>
        <w:t xml:space="preserve"> </w:t>
      </w:r>
      <w:r w:rsidR="00D24B57">
        <w:rPr>
          <w:lang w:val="en-GB"/>
        </w:rPr>
        <w:t>however the r</w:t>
      </w:r>
      <w:r w:rsidRPr="002E5F73">
        <w:rPr>
          <w:lang w:val="en-GB"/>
        </w:rPr>
        <w:t>ate</w:t>
      </w:r>
      <w:r w:rsidR="00D24B57">
        <w:rPr>
          <w:lang w:val="en-GB"/>
        </w:rPr>
        <w:t xml:space="preserve"> is low. </w:t>
      </w:r>
      <w:r w:rsidRPr="005D7242">
        <w:rPr>
          <w:szCs w:val="24"/>
          <w:lang w:val="en-GB"/>
        </w:rPr>
        <w:t xml:space="preserve">The </w:t>
      </w:r>
      <w:r>
        <w:rPr>
          <w:szCs w:val="24"/>
          <w:lang w:val="en-GB"/>
        </w:rPr>
        <w:t>jack mackerel</w:t>
      </w:r>
      <w:r w:rsidRPr="005D7242">
        <w:rPr>
          <w:szCs w:val="24"/>
          <w:lang w:val="en-GB"/>
        </w:rPr>
        <w:t xml:space="preserve"> fisheries overall were assessed to contribute very low levels of risk to a small number of seabird species.</w:t>
      </w:r>
    </w:p>
    <w:p w14:paraId="290B7F51" w14:textId="77777777" w:rsidR="00703CEE" w:rsidRDefault="00703CEE" w:rsidP="004412A2">
      <w:pPr>
        <w:rPr>
          <w:szCs w:val="24"/>
          <w:lang w:val="en-GB"/>
        </w:rPr>
      </w:pPr>
    </w:p>
    <w:p w14:paraId="39201853" w14:textId="5DD8404F" w:rsidR="00703CEE" w:rsidRPr="005D7242" w:rsidRDefault="00703CEE" w:rsidP="00703CEE">
      <w:pPr>
        <w:rPr>
          <w:szCs w:val="24"/>
        </w:rPr>
      </w:pPr>
      <w:r w:rsidRPr="005D7242">
        <w:rPr>
          <w:szCs w:val="24"/>
        </w:rPr>
        <w:t xml:space="preserve">Regulatory and non-regulatory management measures are in place to mitigate and manage interactions with seabirds. Mandatory measures include the requirement that all trawl vessels over 28 m in length deploy bird mitigation devices during fishing. Non-regulatory management measures include vessel-specific vessel management plans (VMPs). The VMPs describe </w:t>
      </w:r>
      <w:r w:rsidR="00B37CC4" w:rsidRPr="005D7242">
        <w:rPr>
          <w:szCs w:val="24"/>
        </w:rPr>
        <w:t>on-board</w:t>
      </w:r>
      <w:r w:rsidRPr="005D7242">
        <w:rPr>
          <w:szCs w:val="24"/>
        </w:rPr>
        <w:t xml:space="preserve"> practices vessels must follow to reduce the risk of seabird </w:t>
      </w:r>
      <w:r>
        <w:rPr>
          <w:szCs w:val="24"/>
        </w:rPr>
        <w:t>interactions</w:t>
      </w:r>
      <w:r w:rsidRPr="005D7242">
        <w:rPr>
          <w:szCs w:val="24"/>
        </w:rPr>
        <w:t>, including offal management and good factory cleanliness. MPI monitors each vessel’s performance against its VMP and works with</w:t>
      </w:r>
      <w:r w:rsidR="00B37CC4">
        <w:rPr>
          <w:szCs w:val="24"/>
        </w:rPr>
        <w:t xml:space="preserve"> the Deepwater Group Ltd</w:t>
      </w:r>
      <w:r w:rsidRPr="005D7242">
        <w:rPr>
          <w:szCs w:val="24"/>
        </w:rPr>
        <w:t xml:space="preserve"> to rectify any issues that arise during the fishing season. This practice will continue during the 201</w:t>
      </w:r>
      <w:r w:rsidR="00B37CC4">
        <w:rPr>
          <w:szCs w:val="24"/>
        </w:rPr>
        <w:t>6</w:t>
      </w:r>
      <w:r w:rsidRPr="005D7242">
        <w:rPr>
          <w:szCs w:val="24"/>
        </w:rPr>
        <w:t>-1</w:t>
      </w:r>
      <w:r w:rsidR="00B37CC4">
        <w:rPr>
          <w:szCs w:val="24"/>
        </w:rPr>
        <w:t>7</w:t>
      </w:r>
      <w:r w:rsidRPr="005D7242">
        <w:rPr>
          <w:szCs w:val="24"/>
        </w:rPr>
        <w:t xml:space="preserve"> fishing year.</w:t>
      </w:r>
    </w:p>
    <w:p w14:paraId="1F51F016" w14:textId="77777777" w:rsidR="004412A2" w:rsidRDefault="004412A2" w:rsidP="004412A2">
      <w:pPr>
        <w:rPr>
          <w:szCs w:val="24"/>
          <w:lang w:val="en-GB"/>
        </w:rPr>
      </w:pPr>
      <w:r w:rsidRPr="005D7242">
        <w:rPr>
          <w:szCs w:val="24"/>
          <w:lang w:val="en-GB"/>
        </w:rPr>
        <w:t xml:space="preserve"> </w:t>
      </w:r>
    </w:p>
    <w:p w14:paraId="7775C76F" w14:textId="6B1AA50A" w:rsidR="00703CEE" w:rsidRDefault="00703CEE" w:rsidP="004412A2">
      <w:pPr>
        <w:rPr>
          <w:szCs w:val="24"/>
          <w:lang w:val="en-GB"/>
        </w:rPr>
      </w:pPr>
      <w:r>
        <w:rPr>
          <w:szCs w:val="24"/>
          <w:lang w:val="en-GB"/>
        </w:rPr>
        <w:t xml:space="preserve">If the abundance of </w:t>
      </w:r>
      <w:r w:rsidRPr="006029C3">
        <w:rPr>
          <w:i/>
        </w:rPr>
        <w:t>T. murphyi</w:t>
      </w:r>
      <w:r>
        <w:t xml:space="preserve"> in </w:t>
      </w:r>
      <w:r w:rsidR="005B097B">
        <w:t>JMA 3</w:t>
      </w:r>
      <w:r>
        <w:t xml:space="preserve"> remains at a level similar to that of the last 15 years, </w:t>
      </w:r>
      <w:r w:rsidRPr="005D7242">
        <w:rPr>
          <w:szCs w:val="24"/>
          <w:lang w:val="en-GB"/>
        </w:rPr>
        <w:t xml:space="preserve">fishing effort in </w:t>
      </w:r>
      <w:r w:rsidR="005B097B">
        <w:rPr>
          <w:szCs w:val="24"/>
          <w:lang w:val="en-GB"/>
        </w:rPr>
        <w:t>JMA 3</w:t>
      </w:r>
      <w:r>
        <w:rPr>
          <w:szCs w:val="24"/>
          <w:lang w:val="en-GB"/>
        </w:rPr>
        <w:t xml:space="preserve"> is likely to remain at a level similar to that of recent years regardless of the TAC option</w:t>
      </w:r>
      <w:r w:rsidRPr="005D7242">
        <w:rPr>
          <w:szCs w:val="24"/>
          <w:lang w:val="en-GB"/>
        </w:rPr>
        <w:t xml:space="preserve">. With the range of regulatory and non-regulatory measures in place, the management proposals should have no additional effects on seabirds </w:t>
      </w:r>
      <w:r>
        <w:rPr>
          <w:szCs w:val="24"/>
          <w:lang w:val="en-GB"/>
        </w:rPr>
        <w:t>as effort is unlikely to increase.</w:t>
      </w:r>
    </w:p>
    <w:p w14:paraId="07201CC8" w14:textId="77777777" w:rsidR="00434883" w:rsidRPr="005D7242" w:rsidRDefault="00434883" w:rsidP="004412A2">
      <w:pPr>
        <w:rPr>
          <w:szCs w:val="24"/>
          <w:lang w:val="en-GB"/>
        </w:rPr>
      </w:pPr>
    </w:p>
    <w:p w14:paraId="7C70D519" w14:textId="77777777" w:rsidR="00471C3D" w:rsidRDefault="00703CEE" w:rsidP="00703CEE">
      <w:pPr>
        <w:pStyle w:val="Heading3"/>
      </w:pPr>
      <w:r>
        <w:t>Fish bycatch</w:t>
      </w:r>
    </w:p>
    <w:p w14:paraId="0FAC0FF4" w14:textId="6210BB52" w:rsidR="00703CEE" w:rsidRDefault="000D0D1F" w:rsidP="00703CEE">
      <w:r>
        <w:t xml:space="preserve">When targeting species other than southern blue whiting, squid or hoki in the area encompassed by the </w:t>
      </w:r>
      <w:r w:rsidR="005B097B">
        <w:t>JMA 3</w:t>
      </w:r>
      <w:r>
        <w:t xml:space="preserve"> QMA, the </w:t>
      </w:r>
      <w:r w:rsidR="00115D82">
        <w:t>midwater trawl</w:t>
      </w:r>
      <w:r>
        <w:t xml:space="preserve"> fleet may target jack mackerel or other species that have similar distributions such as barracouta or redbait. </w:t>
      </w:r>
      <w:r w:rsidR="00115D82">
        <w:t xml:space="preserve">When targeting these species, </w:t>
      </w:r>
      <w:r>
        <w:t>catch tends to comprise around 90% jack mackerel/barracouta/redbait combined and 10% other species</w:t>
      </w:r>
      <w:r w:rsidR="00A3331E">
        <w:t>.</w:t>
      </w:r>
    </w:p>
    <w:p w14:paraId="56ECBE75" w14:textId="77777777" w:rsidR="00A3331E" w:rsidRDefault="00A3331E" w:rsidP="00703CEE"/>
    <w:p w14:paraId="453802B7" w14:textId="783A52C9" w:rsidR="0025606C" w:rsidRDefault="00A3331E" w:rsidP="00703CEE">
      <w:r>
        <w:t xml:space="preserve">Fishing effort for jack mackerel in </w:t>
      </w:r>
      <w:r w:rsidR="005B097B">
        <w:t>JMA 3</w:t>
      </w:r>
      <w:r>
        <w:t xml:space="preserve">, together with barracouta and redbait, is not expected to increase significantly from current levels regardless of the </w:t>
      </w:r>
      <w:r w:rsidR="005B097B">
        <w:t>JMA 3</w:t>
      </w:r>
      <w:r w:rsidR="00115D82">
        <w:t xml:space="preserve"> TAC </w:t>
      </w:r>
      <w:r>
        <w:t>options. Fish bycatch is therefore not expected to change significantly.</w:t>
      </w:r>
    </w:p>
    <w:p w14:paraId="39943E20" w14:textId="77777777" w:rsidR="00434883" w:rsidRDefault="00434883" w:rsidP="00703CEE"/>
    <w:p w14:paraId="10CCF30F" w14:textId="77777777" w:rsidR="0025606C" w:rsidRDefault="0025606C" w:rsidP="0025606C">
      <w:pPr>
        <w:pStyle w:val="Heading3"/>
      </w:pPr>
      <w:r>
        <w:t xml:space="preserve">Marine mammals </w:t>
      </w:r>
    </w:p>
    <w:p w14:paraId="2195525B" w14:textId="490A97D4" w:rsidR="0052013F" w:rsidRDefault="0052013F" w:rsidP="0052013F">
      <w:r>
        <w:t xml:space="preserve">The capture rate of marine mammals (fur seals and dolphins) in the </w:t>
      </w:r>
      <w:r w:rsidR="005B097B">
        <w:t>JMA 3</w:t>
      </w:r>
      <w:r>
        <w:t xml:space="preserve"> fishery is very low. It is not thought that the rate of captures is having an adverse effect of the populations of these species.</w:t>
      </w:r>
    </w:p>
    <w:p w14:paraId="7885209B" w14:textId="77777777" w:rsidR="0052013F" w:rsidRDefault="0052013F" w:rsidP="0052013F"/>
    <w:p w14:paraId="2640D950" w14:textId="054CB6F3" w:rsidR="0052013F" w:rsidRDefault="0052013F" w:rsidP="0052013F">
      <w:r w:rsidRPr="002E5F73">
        <w:t xml:space="preserve">MPI </w:t>
      </w:r>
      <w:r>
        <w:t>works closely with</w:t>
      </w:r>
      <w:r w:rsidRPr="002E5F73">
        <w:t xml:space="preserve"> industry to increase awareness amongst the fleet of the risk of interactions, and </w:t>
      </w:r>
      <w:r>
        <w:t>emphasises</w:t>
      </w:r>
      <w:r w:rsidRPr="002E5F73">
        <w:t xml:space="preserve"> the importance of adherence to the current marine mammal operational procedures (MMOP). The MMOP</w:t>
      </w:r>
      <w:r>
        <w:t xml:space="preserve"> aims to reduce the risk of interactions with marine mammals by requiring </w:t>
      </w:r>
      <w:r w:rsidRPr="002E5F73">
        <w:t xml:space="preserve">that vessels minimise the length of time the fishing gear is on the surface, remove all </w:t>
      </w:r>
      <w:r>
        <w:t xml:space="preserve">dead fish </w:t>
      </w:r>
      <w:r w:rsidRPr="002E5F73">
        <w:t>from the net before shooting the gear, steam away from any congregations of marine mammals before shooting the gear and appoint a crew member to watch for marine mammal interactions every time the gear is shot or hauled.</w:t>
      </w:r>
      <w:r w:rsidRPr="007B655F">
        <w:t xml:space="preserve"> </w:t>
      </w:r>
      <w:r>
        <w:t xml:space="preserve">Performance in </w:t>
      </w:r>
      <w:r>
        <w:lastRenderedPageBreak/>
        <w:t>relation to these procedures is audited by MPI, which will continue into the 201</w:t>
      </w:r>
      <w:r w:rsidR="00340889">
        <w:t>6</w:t>
      </w:r>
      <w:r>
        <w:t>/1</w:t>
      </w:r>
      <w:r w:rsidR="00340889">
        <w:t>7</w:t>
      </w:r>
      <w:r>
        <w:t xml:space="preserve"> fishing year.</w:t>
      </w:r>
    </w:p>
    <w:p w14:paraId="20DDA768" w14:textId="77777777" w:rsidR="0052013F" w:rsidRDefault="0052013F" w:rsidP="0052013F"/>
    <w:p w14:paraId="37A23ECE" w14:textId="7086E76C" w:rsidR="006C65ED" w:rsidRDefault="0052013F" w:rsidP="0052013F">
      <w:pPr>
        <w:rPr>
          <w:lang w:val="en-GB"/>
        </w:rPr>
      </w:pPr>
      <w:r>
        <w:rPr>
          <w:lang w:val="en-GB"/>
        </w:rPr>
        <w:t xml:space="preserve">Under all options, fishing effort </w:t>
      </w:r>
      <w:r w:rsidR="006C65ED">
        <w:rPr>
          <w:lang w:val="en-GB"/>
        </w:rPr>
        <w:t xml:space="preserve">for jack mackerel in </w:t>
      </w:r>
      <w:r w:rsidR="005B097B">
        <w:rPr>
          <w:lang w:val="en-GB"/>
        </w:rPr>
        <w:t>JMA 3</w:t>
      </w:r>
      <w:r w:rsidR="006C65ED">
        <w:rPr>
          <w:lang w:val="en-GB"/>
        </w:rPr>
        <w:t xml:space="preserve"> is not expected to increase and there should be no additional risk to marine mammals</w:t>
      </w:r>
      <w:r w:rsidRPr="00DB524D">
        <w:rPr>
          <w:lang w:val="en-GB"/>
        </w:rPr>
        <w:t>.</w:t>
      </w:r>
    </w:p>
    <w:p w14:paraId="5400963A" w14:textId="77777777" w:rsidR="00434883" w:rsidRDefault="00434883" w:rsidP="0052013F">
      <w:pPr>
        <w:rPr>
          <w:lang w:val="en-GB"/>
        </w:rPr>
      </w:pPr>
    </w:p>
    <w:p w14:paraId="66504305" w14:textId="77777777" w:rsidR="006C65ED" w:rsidRDefault="006C65ED" w:rsidP="006C65ED">
      <w:pPr>
        <w:pStyle w:val="Heading3"/>
      </w:pPr>
      <w:r>
        <w:t>Benthic impacts</w:t>
      </w:r>
    </w:p>
    <w:p w14:paraId="3027FD05" w14:textId="2FCEF836" w:rsidR="006C65ED" w:rsidRDefault="006C65ED" w:rsidP="006C65ED">
      <w:r>
        <w:t>Jack mackerel is generally</w:t>
      </w:r>
      <w:r w:rsidR="00912671">
        <w:t xml:space="preserve"> fished using mid-water trawl gear </w:t>
      </w:r>
      <w:r w:rsidR="00DE71E5">
        <w:t xml:space="preserve">that is fished on the bottom. When fishing at night however, the gear is often fished </w:t>
      </w:r>
      <w:r w:rsidR="004741D6">
        <w:t>off the bottom as jack mackerel</w:t>
      </w:r>
      <w:r w:rsidR="00DE71E5">
        <w:t xml:space="preserve"> tend</w:t>
      </w:r>
      <w:r w:rsidR="004741D6">
        <w:t>s</w:t>
      </w:r>
      <w:r w:rsidR="00DE71E5">
        <w:t xml:space="preserve"> to move up the water column at night.</w:t>
      </w:r>
    </w:p>
    <w:p w14:paraId="559FE056" w14:textId="77777777" w:rsidR="00185CEB" w:rsidRDefault="00185CEB" w:rsidP="00185CEB"/>
    <w:p w14:paraId="716E2FBC" w14:textId="202FE214" w:rsidR="00185CEB" w:rsidRDefault="00185CEB" w:rsidP="00185CEB">
      <w:r>
        <w:t xml:space="preserve">MPI acknowledges that the proposals to reduce the </w:t>
      </w:r>
      <w:r w:rsidR="005B097B">
        <w:t>JMA 3</w:t>
      </w:r>
      <w:r>
        <w:t xml:space="preserve"> TACC are unlikely to affect the </w:t>
      </w:r>
      <w:r w:rsidR="004D0BB8">
        <w:t xml:space="preserve">recent </w:t>
      </w:r>
      <w:r>
        <w:t>level of fishing effort</w:t>
      </w:r>
      <w:r w:rsidR="00F466BD">
        <w:t xml:space="preserve"> and hence limit benthic impacts</w:t>
      </w:r>
      <w:r>
        <w:t xml:space="preserve">. </w:t>
      </w:r>
      <w:r w:rsidR="004D0BB8">
        <w:t>However</w:t>
      </w:r>
      <w:r>
        <w:t>, as current effort is considerably less than that during</w:t>
      </w:r>
      <w:r w:rsidR="00F466BD">
        <w:t xml:space="preserve"> the 1990s, the current level of benthic impact is considerably less than that of the 1990s.</w:t>
      </w:r>
    </w:p>
    <w:p w14:paraId="2B2A401A" w14:textId="77777777" w:rsidR="00F466BD" w:rsidRDefault="00F466BD" w:rsidP="00185CEB"/>
    <w:p w14:paraId="3D98175F" w14:textId="02690490" w:rsidR="00185CEB" w:rsidRDefault="00F466BD" w:rsidP="006C65ED">
      <w:r w:rsidRPr="00F466BD">
        <w:t xml:space="preserve">MPI will continue to monitor the trawl footprint of the </w:t>
      </w:r>
      <w:r>
        <w:t>jack mackerel</w:t>
      </w:r>
      <w:r w:rsidRPr="00F466BD">
        <w:t xml:space="preserve"> and other deepwater fisheries annually. </w:t>
      </w:r>
    </w:p>
    <w:p w14:paraId="2642A0D1" w14:textId="77777777" w:rsidR="00434883" w:rsidRPr="006C65ED" w:rsidRDefault="00434883" w:rsidP="006C65ED"/>
    <w:p w14:paraId="0EC5649E" w14:textId="77777777" w:rsidR="00471C3D" w:rsidRDefault="00471C3D" w:rsidP="00471C3D">
      <w:pPr>
        <w:pStyle w:val="Heading1"/>
      </w:pPr>
      <w:bookmarkStart w:id="35" w:name="_Toc398800959"/>
      <w:bookmarkStart w:id="36" w:name="_Toc398801135"/>
      <w:bookmarkStart w:id="37" w:name="_Toc399138993"/>
      <w:bookmarkStart w:id="38" w:name="_Toc399398694"/>
      <w:bookmarkStart w:id="39" w:name="_Toc399138994"/>
      <w:bookmarkStart w:id="40" w:name="_Toc452018143"/>
      <w:bookmarkEnd w:id="35"/>
      <w:bookmarkEnd w:id="36"/>
      <w:bookmarkEnd w:id="37"/>
      <w:bookmarkEnd w:id="38"/>
      <w:r>
        <w:t>Proposed Options</w:t>
      </w:r>
      <w:bookmarkEnd w:id="39"/>
      <w:bookmarkEnd w:id="40"/>
    </w:p>
    <w:p w14:paraId="45B1B15A" w14:textId="6D676F99" w:rsidR="001C5776" w:rsidRDefault="00F466BD" w:rsidP="00471C3D">
      <w:r>
        <w:t xml:space="preserve">MPI is consulting on the options set out in Table </w:t>
      </w:r>
      <w:r w:rsidR="00225C99">
        <w:t>3</w:t>
      </w:r>
      <w:r>
        <w:t xml:space="preserve">. </w:t>
      </w:r>
      <w:r w:rsidR="004D0BB8">
        <w:t>Three of the four</w:t>
      </w:r>
      <w:r w:rsidR="001C5776">
        <w:t xml:space="preserve"> options involve reductions to the </w:t>
      </w:r>
      <w:r w:rsidR="005B097B">
        <w:t>JMA 3</w:t>
      </w:r>
      <w:r w:rsidR="002C5788">
        <w:t xml:space="preserve"> catch limit</w:t>
      </w:r>
      <w:r w:rsidR="001C5776">
        <w:t>. However</w:t>
      </w:r>
      <w:r w:rsidR="002C5788">
        <w:t>, in all cases the proposed TAC</w:t>
      </w:r>
      <w:r w:rsidR="001C5776">
        <w:t>s are higher than the highest catch reported in the fishery between 2000/01 and 201</w:t>
      </w:r>
      <w:r w:rsidR="00340889">
        <w:t>4</w:t>
      </w:r>
      <w:r w:rsidR="001C5776">
        <w:t>/1</w:t>
      </w:r>
      <w:r w:rsidR="00340889">
        <w:t>5</w:t>
      </w:r>
      <w:r w:rsidR="001C5776">
        <w:t xml:space="preserve">. </w:t>
      </w:r>
      <w:r w:rsidR="000675A0">
        <w:t>This means that all options are unlike</w:t>
      </w:r>
      <w:r w:rsidR="00400023">
        <w:t xml:space="preserve">ly to constrain catch of </w:t>
      </w:r>
      <w:r w:rsidR="005B097B">
        <w:t>JMA 3</w:t>
      </w:r>
      <w:r w:rsidR="00400023">
        <w:t xml:space="preserve"> based on</w:t>
      </w:r>
      <w:r w:rsidR="000675A0">
        <w:t xml:space="preserve"> current catch levels.</w:t>
      </w:r>
    </w:p>
    <w:p w14:paraId="4CEDAD20" w14:textId="77777777" w:rsidR="000675A0" w:rsidRDefault="000675A0" w:rsidP="00471C3D"/>
    <w:p w14:paraId="55177FE3" w14:textId="7421169C" w:rsidR="00471C3D" w:rsidRDefault="001C5776" w:rsidP="00471C3D">
      <w:r>
        <w:t>The rat</w:t>
      </w:r>
      <w:r w:rsidR="002C5788">
        <w:t>ionale for not reducing the TAC</w:t>
      </w:r>
      <w:r>
        <w:t xml:space="preserve"> to the pre 1993/94 level (2,700 tonnes) is due to the continued persistence</w:t>
      </w:r>
      <w:r w:rsidR="00225C99">
        <w:t>, albeit at a reduced level,</w:t>
      </w:r>
      <w:r>
        <w:t xml:space="preserve"> of </w:t>
      </w:r>
      <w:r w:rsidR="00400023" w:rsidRPr="006029C3">
        <w:rPr>
          <w:i/>
        </w:rPr>
        <w:t>T. murphyi</w:t>
      </w:r>
      <w:r w:rsidR="00400023">
        <w:t xml:space="preserve"> </w:t>
      </w:r>
      <w:r>
        <w:t xml:space="preserve">in New Zealand waters and the fact that it is the dominant species in </w:t>
      </w:r>
      <w:r w:rsidR="005B097B">
        <w:t>JMA 3</w:t>
      </w:r>
      <w:r>
        <w:t xml:space="preserve">. </w:t>
      </w:r>
      <w:r w:rsidR="0052102A">
        <w:t xml:space="preserve">There is no information indicating sustainability concerns with the two native jack mackerel species in </w:t>
      </w:r>
      <w:r w:rsidR="005B097B">
        <w:t>JMA 3</w:t>
      </w:r>
      <w:r w:rsidR="00225C99">
        <w:t xml:space="preserve"> at current catch levels</w:t>
      </w:r>
      <w:r w:rsidR="003820EB">
        <w:t xml:space="preserve">. </w:t>
      </w:r>
      <w:r w:rsidR="00225C99">
        <w:t>However, if the current 18,000 tonne TACC were to be taken, this could introduce sustainability concerns for the</w:t>
      </w:r>
      <w:r w:rsidR="004741D6">
        <w:t>se</w:t>
      </w:r>
      <w:r w:rsidR="00225C99">
        <w:t xml:space="preserve"> two species.</w:t>
      </w:r>
    </w:p>
    <w:p w14:paraId="01920A73" w14:textId="77777777" w:rsidR="000675A0" w:rsidRDefault="000675A0" w:rsidP="00471C3D"/>
    <w:p w14:paraId="5A01E6FE" w14:textId="082B5D0A" w:rsidR="00225C99" w:rsidRPr="002C345D" w:rsidRDefault="00225C99" w:rsidP="00225C99">
      <w:pPr>
        <w:rPr>
          <w:rFonts w:ascii="Arial Narrow" w:hAnsi="Arial Narrow"/>
          <w:b/>
        </w:rPr>
      </w:pPr>
      <w:r w:rsidRPr="002C345D">
        <w:rPr>
          <w:rFonts w:ascii="Arial Narrow" w:hAnsi="Arial Narrow"/>
          <w:b/>
        </w:rPr>
        <w:t xml:space="preserve">Table 3. Proposed TACs, TACCs and allowances for </w:t>
      </w:r>
      <w:r w:rsidR="005B097B">
        <w:rPr>
          <w:rFonts w:ascii="Arial Narrow" w:hAnsi="Arial Narrow"/>
          <w:b/>
        </w:rPr>
        <w:t>JMA 3</w:t>
      </w:r>
      <w:r w:rsidR="00FA09EE">
        <w:rPr>
          <w:rFonts w:ascii="Arial Narrow" w:hAnsi="Arial Narrow"/>
          <w:b/>
        </w:rPr>
        <w:t xml:space="preserve"> (all </w:t>
      </w:r>
      <w:r w:rsidR="00E05688">
        <w:rPr>
          <w:rFonts w:ascii="Arial Narrow" w:hAnsi="Arial Narrow"/>
          <w:b/>
        </w:rPr>
        <w:t>values</w:t>
      </w:r>
      <w:r w:rsidR="00FA09EE">
        <w:rPr>
          <w:rFonts w:ascii="Arial Narrow" w:hAnsi="Arial Narrow"/>
          <w:b/>
        </w:rPr>
        <w:t xml:space="preserve"> in tonnes)</w:t>
      </w:r>
    </w:p>
    <w:tbl>
      <w:tblPr>
        <w:tblpPr w:leftFromText="180" w:rightFromText="180" w:vertAnchor="text" w:horzAnchor="margin" w:tblpY="96"/>
        <w:tblW w:w="5000" w:type="pct"/>
        <w:tblLook w:val="00A0" w:firstRow="1" w:lastRow="0" w:firstColumn="1" w:lastColumn="0" w:noHBand="0" w:noVBand="0"/>
      </w:tblPr>
      <w:tblGrid>
        <w:gridCol w:w="2178"/>
        <w:gridCol w:w="833"/>
        <w:gridCol w:w="546"/>
        <w:gridCol w:w="423"/>
        <w:gridCol w:w="1799"/>
        <w:gridCol w:w="1201"/>
        <w:gridCol w:w="2090"/>
      </w:tblGrid>
      <w:tr w:rsidR="000F4CDF" w:rsidRPr="0029325B" w14:paraId="37CEB0CC" w14:textId="77777777" w:rsidTr="00251A30">
        <w:trPr>
          <w:trHeight w:val="20"/>
        </w:trPr>
        <w:tc>
          <w:tcPr>
            <w:tcW w:w="1201" w:type="pct"/>
            <w:tcBorders>
              <w:top w:val="single" w:sz="4" w:space="0" w:color="auto"/>
            </w:tcBorders>
            <w:vAlign w:val="center"/>
          </w:tcPr>
          <w:p w14:paraId="398919A5" w14:textId="77777777" w:rsidR="000F4CDF" w:rsidRPr="0029325B" w:rsidRDefault="000F4CDF" w:rsidP="000F4CDF">
            <w:pPr>
              <w:pStyle w:val="FAPHeadingThree"/>
              <w:jc w:val="left"/>
              <w:rPr>
                <w:rFonts w:ascii="Arial Narrow" w:hAnsi="Arial Narrow" w:cs="Times New Roman"/>
                <w:b/>
                <w:i w:val="0"/>
                <w:sz w:val="20"/>
                <w:szCs w:val="20"/>
                <w:u w:val="none"/>
              </w:rPr>
            </w:pPr>
          </w:p>
        </w:tc>
        <w:tc>
          <w:tcPr>
            <w:tcW w:w="760" w:type="pct"/>
            <w:gridSpan w:val="2"/>
            <w:tcBorders>
              <w:top w:val="single" w:sz="4" w:space="0" w:color="auto"/>
            </w:tcBorders>
            <w:vAlign w:val="center"/>
          </w:tcPr>
          <w:p w14:paraId="5BA9A063" w14:textId="77777777" w:rsidR="000F4CDF" w:rsidRPr="0029325B" w:rsidRDefault="000F4CDF" w:rsidP="000F4CDF">
            <w:pPr>
              <w:pStyle w:val="FAPHeadingThree"/>
              <w:jc w:val="center"/>
              <w:rPr>
                <w:rFonts w:ascii="Arial Narrow" w:hAnsi="Arial Narrow" w:cs="Times New Roman"/>
                <w:b/>
                <w:i w:val="0"/>
                <w:sz w:val="20"/>
                <w:szCs w:val="20"/>
                <w:u w:val="none"/>
              </w:rPr>
            </w:pPr>
          </w:p>
        </w:tc>
        <w:tc>
          <w:tcPr>
            <w:tcW w:w="233" w:type="pct"/>
            <w:tcBorders>
              <w:top w:val="single" w:sz="4" w:space="0" w:color="auto"/>
              <w:right w:val="single" w:sz="4" w:space="0" w:color="auto"/>
            </w:tcBorders>
            <w:vAlign w:val="center"/>
          </w:tcPr>
          <w:p w14:paraId="157AE0D1" w14:textId="77777777" w:rsidR="000F4CDF" w:rsidRPr="0029325B" w:rsidRDefault="000F4CDF" w:rsidP="000F4CDF">
            <w:pPr>
              <w:pStyle w:val="FAPHeadingThree"/>
              <w:jc w:val="center"/>
              <w:rPr>
                <w:rFonts w:ascii="Arial Narrow" w:hAnsi="Arial Narrow" w:cs="Times New Roman"/>
                <w:b/>
                <w:i w:val="0"/>
                <w:sz w:val="20"/>
                <w:szCs w:val="20"/>
                <w:u w:val="none"/>
              </w:rPr>
            </w:pPr>
          </w:p>
        </w:tc>
        <w:tc>
          <w:tcPr>
            <w:tcW w:w="2807" w:type="pct"/>
            <w:gridSpan w:val="3"/>
            <w:tcBorders>
              <w:top w:val="single" w:sz="4" w:space="0" w:color="auto"/>
              <w:left w:val="single" w:sz="4" w:space="0" w:color="auto"/>
              <w:bottom w:val="single" w:sz="4" w:space="0" w:color="auto"/>
            </w:tcBorders>
            <w:vAlign w:val="center"/>
          </w:tcPr>
          <w:p w14:paraId="260F6627" w14:textId="77777777" w:rsidR="000F4CDF" w:rsidRPr="0029325B" w:rsidRDefault="000F4CDF" w:rsidP="000F4CDF">
            <w:pPr>
              <w:pStyle w:val="FAPHeadingThree"/>
              <w:jc w:val="center"/>
              <w:rPr>
                <w:rFonts w:ascii="Arial Narrow" w:hAnsi="Arial Narrow" w:cs="Times New Roman"/>
                <w:b/>
                <w:i w:val="0"/>
                <w:sz w:val="20"/>
                <w:szCs w:val="20"/>
                <w:u w:val="none"/>
              </w:rPr>
            </w:pPr>
            <w:r>
              <w:rPr>
                <w:rFonts w:ascii="Arial Narrow" w:hAnsi="Arial Narrow" w:cs="Times New Roman"/>
                <w:b/>
                <w:i w:val="0"/>
                <w:sz w:val="20"/>
                <w:szCs w:val="20"/>
                <w:u w:val="none"/>
              </w:rPr>
              <w:t>Allowances</w:t>
            </w:r>
          </w:p>
        </w:tc>
      </w:tr>
      <w:tr w:rsidR="000F4CDF" w:rsidRPr="0029325B" w14:paraId="08B86C55" w14:textId="77777777" w:rsidTr="000F4CDF">
        <w:trPr>
          <w:trHeight w:val="20"/>
        </w:trPr>
        <w:tc>
          <w:tcPr>
            <w:tcW w:w="1201" w:type="pct"/>
            <w:tcBorders>
              <w:bottom w:val="single" w:sz="4" w:space="0" w:color="auto"/>
            </w:tcBorders>
            <w:vAlign w:val="center"/>
          </w:tcPr>
          <w:p w14:paraId="0F6158A8" w14:textId="77777777" w:rsidR="000F4CDF" w:rsidRPr="0029325B" w:rsidRDefault="000F4CDF" w:rsidP="000F4CDF">
            <w:pPr>
              <w:pStyle w:val="FAPHeadingThree"/>
              <w:jc w:val="left"/>
              <w:rPr>
                <w:rFonts w:ascii="Arial Narrow" w:hAnsi="Arial Narrow" w:cs="Times New Roman"/>
                <w:b/>
                <w:i w:val="0"/>
                <w:sz w:val="20"/>
                <w:szCs w:val="20"/>
                <w:u w:val="none"/>
              </w:rPr>
            </w:pPr>
            <w:r>
              <w:rPr>
                <w:rFonts w:ascii="Arial Narrow" w:hAnsi="Arial Narrow" w:cs="Times New Roman"/>
                <w:b/>
                <w:i w:val="0"/>
                <w:sz w:val="20"/>
                <w:szCs w:val="20"/>
                <w:u w:val="none"/>
              </w:rPr>
              <w:t>Option</w:t>
            </w:r>
          </w:p>
        </w:tc>
        <w:tc>
          <w:tcPr>
            <w:tcW w:w="459" w:type="pct"/>
            <w:tcBorders>
              <w:bottom w:val="single" w:sz="4" w:space="0" w:color="auto"/>
            </w:tcBorders>
            <w:vAlign w:val="center"/>
          </w:tcPr>
          <w:p w14:paraId="2492D0A4" w14:textId="77777777" w:rsidR="000F4CDF" w:rsidRPr="0029325B"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 </w:t>
            </w:r>
          </w:p>
        </w:tc>
        <w:tc>
          <w:tcPr>
            <w:tcW w:w="534" w:type="pct"/>
            <w:gridSpan w:val="2"/>
            <w:tcBorders>
              <w:bottom w:val="single" w:sz="4" w:space="0" w:color="auto"/>
            </w:tcBorders>
            <w:vAlign w:val="center"/>
          </w:tcPr>
          <w:p w14:paraId="2F5AF27B" w14:textId="77777777" w:rsidR="000F4CDF" w:rsidRPr="0029325B"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TACC </w:t>
            </w:r>
          </w:p>
        </w:tc>
        <w:tc>
          <w:tcPr>
            <w:tcW w:w="992" w:type="pct"/>
            <w:tcBorders>
              <w:top w:val="single" w:sz="4" w:space="0" w:color="auto"/>
              <w:bottom w:val="single" w:sz="4" w:space="0" w:color="auto"/>
            </w:tcBorders>
            <w:vAlign w:val="center"/>
          </w:tcPr>
          <w:p w14:paraId="4F15166D" w14:textId="77777777" w:rsidR="000F4CDF" w:rsidRPr="0029325B"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Customary Māori </w:t>
            </w:r>
          </w:p>
        </w:tc>
        <w:tc>
          <w:tcPr>
            <w:tcW w:w="662" w:type="pct"/>
            <w:tcBorders>
              <w:top w:val="single" w:sz="4" w:space="0" w:color="auto"/>
              <w:bottom w:val="single" w:sz="4" w:space="0" w:color="auto"/>
            </w:tcBorders>
            <w:vAlign w:val="center"/>
          </w:tcPr>
          <w:p w14:paraId="770A20D8" w14:textId="77777777" w:rsidR="000F4CDF" w:rsidRPr="0029325B"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Recreational </w:t>
            </w:r>
          </w:p>
        </w:tc>
        <w:tc>
          <w:tcPr>
            <w:tcW w:w="1152" w:type="pct"/>
            <w:tcBorders>
              <w:top w:val="single" w:sz="4" w:space="0" w:color="auto"/>
              <w:bottom w:val="single" w:sz="4" w:space="0" w:color="auto"/>
            </w:tcBorders>
            <w:vAlign w:val="center"/>
          </w:tcPr>
          <w:p w14:paraId="5A9B0916" w14:textId="77777777" w:rsidR="000F4CDF" w:rsidRPr="0029325B"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Other sources of fishing-related mortality</w:t>
            </w:r>
          </w:p>
        </w:tc>
      </w:tr>
      <w:tr w:rsidR="000F4CDF" w14:paraId="5EC22E57" w14:textId="77777777" w:rsidTr="000F4CDF">
        <w:trPr>
          <w:trHeight w:val="20"/>
        </w:trPr>
        <w:tc>
          <w:tcPr>
            <w:tcW w:w="1201" w:type="pct"/>
            <w:tcBorders>
              <w:bottom w:val="single" w:sz="4" w:space="0" w:color="auto"/>
            </w:tcBorders>
            <w:vAlign w:val="center"/>
          </w:tcPr>
          <w:p w14:paraId="2620BC77" w14:textId="77777777" w:rsidR="000F4CDF" w:rsidRPr="0029325B"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Current Settings</w:t>
            </w:r>
          </w:p>
        </w:tc>
        <w:tc>
          <w:tcPr>
            <w:tcW w:w="459" w:type="pct"/>
            <w:tcBorders>
              <w:top w:val="single" w:sz="4" w:space="0" w:color="auto"/>
              <w:bottom w:val="single" w:sz="4" w:space="0" w:color="auto"/>
            </w:tcBorders>
            <w:vAlign w:val="center"/>
          </w:tcPr>
          <w:p w14:paraId="50EAF4ED" w14:textId="77777777" w:rsidR="000F4CDF"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c>
          <w:tcPr>
            <w:tcW w:w="534" w:type="pct"/>
            <w:gridSpan w:val="2"/>
            <w:tcBorders>
              <w:top w:val="single" w:sz="4" w:space="0" w:color="auto"/>
              <w:bottom w:val="single" w:sz="4" w:space="0" w:color="auto"/>
            </w:tcBorders>
            <w:vAlign w:val="center"/>
          </w:tcPr>
          <w:p w14:paraId="60C2FDD0" w14:textId="77777777" w:rsidR="000F4CDF"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18,000</w:t>
            </w:r>
          </w:p>
        </w:tc>
        <w:tc>
          <w:tcPr>
            <w:tcW w:w="992" w:type="pct"/>
            <w:tcBorders>
              <w:top w:val="single" w:sz="4" w:space="0" w:color="auto"/>
              <w:bottom w:val="single" w:sz="4" w:space="0" w:color="auto"/>
            </w:tcBorders>
            <w:vAlign w:val="center"/>
          </w:tcPr>
          <w:p w14:paraId="33900CF9" w14:textId="77777777" w:rsidR="000F4CDF"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c>
          <w:tcPr>
            <w:tcW w:w="662" w:type="pct"/>
            <w:tcBorders>
              <w:top w:val="single" w:sz="4" w:space="0" w:color="auto"/>
              <w:bottom w:val="single" w:sz="4" w:space="0" w:color="auto"/>
            </w:tcBorders>
            <w:vAlign w:val="center"/>
          </w:tcPr>
          <w:p w14:paraId="384E8253" w14:textId="77777777" w:rsidR="000F4CDF"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c>
          <w:tcPr>
            <w:tcW w:w="1152" w:type="pct"/>
            <w:tcBorders>
              <w:top w:val="single" w:sz="4" w:space="0" w:color="auto"/>
              <w:bottom w:val="single" w:sz="4" w:space="0" w:color="auto"/>
            </w:tcBorders>
            <w:vAlign w:val="center"/>
          </w:tcPr>
          <w:p w14:paraId="36EA8A23" w14:textId="77777777" w:rsidR="000F4CDF" w:rsidRDefault="000F4CDF" w:rsidP="000F4CDF">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w:t>
            </w:r>
          </w:p>
        </w:tc>
      </w:tr>
      <w:tr w:rsidR="000F4CDF" w14:paraId="49F5B2BD" w14:textId="77777777" w:rsidTr="000F4CDF">
        <w:trPr>
          <w:trHeight w:val="20"/>
        </w:trPr>
        <w:tc>
          <w:tcPr>
            <w:tcW w:w="1201" w:type="pct"/>
            <w:tcBorders>
              <w:top w:val="single" w:sz="4" w:space="0" w:color="auto"/>
            </w:tcBorders>
            <w:vAlign w:val="center"/>
          </w:tcPr>
          <w:p w14:paraId="5A78A056" w14:textId="77777777" w:rsidR="000F4CDF" w:rsidRPr="00E05688" w:rsidRDefault="000F4CDF"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1</w:t>
            </w:r>
          </w:p>
        </w:tc>
        <w:tc>
          <w:tcPr>
            <w:tcW w:w="459" w:type="pct"/>
            <w:tcBorders>
              <w:top w:val="single" w:sz="4" w:space="0" w:color="auto"/>
            </w:tcBorders>
            <w:vAlign w:val="center"/>
          </w:tcPr>
          <w:p w14:paraId="60ABF030" w14:textId="77777777" w:rsidR="000F4CDF" w:rsidRPr="00BD2C9E"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18,000</w:t>
            </w:r>
          </w:p>
        </w:tc>
        <w:tc>
          <w:tcPr>
            <w:tcW w:w="534" w:type="pct"/>
            <w:gridSpan w:val="2"/>
            <w:tcBorders>
              <w:top w:val="single" w:sz="4" w:space="0" w:color="auto"/>
            </w:tcBorders>
            <w:vAlign w:val="center"/>
          </w:tcPr>
          <w:p w14:paraId="3F2A3F53" w14:textId="77777777" w:rsidR="000F4CDF" w:rsidRPr="00BD2C9E"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17,610</w:t>
            </w:r>
          </w:p>
        </w:tc>
        <w:tc>
          <w:tcPr>
            <w:tcW w:w="992" w:type="pct"/>
            <w:tcBorders>
              <w:top w:val="single" w:sz="4" w:space="0" w:color="auto"/>
            </w:tcBorders>
            <w:vAlign w:val="center"/>
          </w:tcPr>
          <w:p w14:paraId="52CC1D7B" w14:textId="77777777" w:rsidR="000F4CDF" w:rsidRPr="00BD2C9E"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20</w:t>
            </w:r>
          </w:p>
        </w:tc>
        <w:tc>
          <w:tcPr>
            <w:tcW w:w="662" w:type="pct"/>
            <w:tcBorders>
              <w:top w:val="single" w:sz="4" w:space="0" w:color="auto"/>
            </w:tcBorders>
            <w:vAlign w:val="center"/>
          </w:tcPr>
          <w:p w14:paraId="7B93D8B6" w14:textId="77777777" w:rsidR="000F4CDF" w:rsidRPr="00BD2C9E"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20</w:t>
            </w:r>
          </w:p>
        </w:tc>
        <w:tc>
          <w:tcPr>
            <w:tcW w:w="1152" w:type="pct"/>
            <w:tcBorders>
              <w:top w:val="single" w:sz="4" w:space="0" w:color="auto"/>
            </w:tcBorders>
            <w:vAlign w:val="center"/>
          </w:tcPr>
          <w:p w14:paraId="71EDC6EF" w14:textId="77777777" w:rsidR="000F4CDF" w:rsidRPr="00BD2C9E"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350</w:t>
            </w:r>
          </w:p>
        </w:tc>
      </w:tr>
      <w:tr w:rsidR="000F4CDF" w:rsidRPr="00B26154" w14:paraId="55D7A97C" w14:textId="77777777" w:rsidTr="000F4CDF">
        <w:trPr>
          <w:trHeight w:val="283"/>
        </w:trPr>
        <w:tc>
          <w:tcPr>
            <w:tcW w:w="1201" w:type="pct"/>
            <w:vAlign w:val="center"/>
          </w:tcPr>
          <w:p w14:paraId="71D6D67F" w14:textId="77777777" w:rsidR="000F4CDF" w:rsidRPr="00E05688" w:rsidRDefault="000F4CDF"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2</w:t>
            </w:r>
          </w:p>
        </w:tc>
        <w:tc>
          <w:tcPr>
            <w:tcW w:w="459" w:type="pct"/>
            <w:vAlign w:val="center"/>
          </w:tcPr>
          <w:p w14:paraId="59EFBE2C" w14:textId="77777777" w:rsidR="000F4CDF" w:rsidRPr="00B26154"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9,000</w:t>
            </w:r>
          </w:p>
        </w:tc>
        <w:tc>
          <w:tcPr>
            <w:tcW w:w="534" w:type="pct"/>
            <w:gridSpan w:val="2"/>
            <w:vAlign w:val="center"/>
          </w:tcPr>
          <w:p w14:paraId="5D5F7786" w14:textId="77777777" w:rsidR="000F4CDF" w:rsidRPr="00B26154"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8,780</w:t>
            </w:r>
          </w:p>
        </w:tc>
        <w:tc>
          <w:tcPr>
            <w:tcW w:w="992" w:type="pct"/>
            <w:vAlign w:val="center"/>
          </w:tcPr>
          <w:p w14:paraId="32792BD8" w14:textId="77777777" w:rsidR="000F4CDF" w:rsidRPr="00B26154"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20</w:t>
            </w:r>
          </w:p>
        </w:tc>
        <w:tc>
          <w:tcPr>
            <w:tcW w:w="662" w:type="pct"/>
            <w:vAlign w:val="center"/>
          </w:tcPr>
          <w:p w14:paraId="6D93C0FA" w14:textId="77777777" w:rsidR="000F4CDF" w:rsidRPr="00B26154"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20</w:t>
            </w:r>
          </w:p>
        </w:tc>
        <w:tc>
          <w:tcPr>
            <w:tcW w:w="1152" w:type="pct"/>
            <w:vAlign w:val="center"/>
          </w:tcPr>
          <w:p w14:paraId="585F29E9" w14:textId="77777777" w:rsidR="000F4CDF" w:rsidRPr="00B26154" w:rsidRDefault="000F4CDF" w:rsidP="000F4CDF">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180</w:t>
            </w:r>
          </w:p>
        </w:tc>
      </w:tr>
      <w:tr w:rsidR="000F4CDF" w:rsidRPr="00EC419B" w14:paraId="0DA794C4" w14:textId="77777777" w:rsidTr="000F4CDF">
        <w:trPr>
          <w:trHeight w:val="283"/>
        </w:trPr>
        <w:tc>
          <w:tcPr>
            <w:tcW w:w="1201" w:type="pct"/>
            <w:vAlign w:val="center"/>
          </w:tcPr>
          <w:p w14:paraId="4D8DCBB8" w14:textId="77777777" w:rsidR="000F4CDF" w:rsidRPr="00E05688" w:rsidRDefault="000F4CDF"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3</w:t>
            </w:r>
          </w:p>
        </w:tc>
        <w:tc>
          <w:tcPr>
            <w:tcW w:w="459" w:type="pct"/>
            <w:vAlign w:val="center"/>
          </w:tcPr>
          <w:p w14:paraId="53CD2B3B"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7,500</w:t>
            </w:r>
          </w:p>
        </w:tc>
        <w:tc>
          <w:tcPr>
            <w:tcW w:w="534" w:type="pct"/>
            <w:gridSpan w:val="2"/>
            <w:vAlign w:val="center"/>
          </w:tcPr>
          <w:p w14:paraId="01006B07"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7,310</w:t>
            </w:r>
          </w:p>
        </w:tc>
        <w:tc>
          <w:tcPr>
            <w:tcW w:w="992" w:type="pct"/>
            <w:vAlign w:val="center"/>
          </w:tcPr>
          <w:p w14:paraId="081690F0"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20</w:t>
            </w:r>
          </w:p>
        </w:tc>
        <w:tc>
          <w:tcPr>
            <w:tcW w:w="662" w:type="pct"/>
            <w:vAlign w:val="center"/>
          </w:tcPr>
          <w:p w14:paraId="64C2ECCD"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20</w:t>
            </w:r>
          </w:p>
        </w:tc>
        <w:tc>
          <w:tcPr>
            <w:tcW w:w="1152" w:type="pct"/>
            <w:vAlign w:val="center"/>
          </w:tcPr>
          <w:p w14:paraId="250360DC"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150</w:t>
            </w:r>
          </w:p>
        </w:tc>
      </w:tr>
      <w:tr w:rsidR="000F4CDF" w:rsidRPr="00EC419B" w14:paraId="699C34E6" w14:textId="77777777" w:rsidTr="000F4CDF">
        <w:trPr>
          <w:trHeight w:val="283"/>
        </w:trPr>
        <w:tc>
          <w:tcPr>
            <w:tcW w:w="1201" w:type="pct"/>
            <w:tcBorders>
              <w:bottom w:val="single" w:sz="4" w:space="0" w:color="auto"/>
            </w:tcBorders>
            <w:vAlign w:val="center"/>
          </w:tcPr>
          <w:p w14:paraId="7102E98F" w14:textId="77777777" w:rsidR="000F4CDF" w:rsidRPr="00E05688" w:rsidRDefault="000F4CDF" w:rsidP="000F4CDF">
            <w:pPr>
              <w:pStyle w:val="FAPHeadingThree"/>
              <w:jc w:val="left"/>
              <w:rPr>
                <w:rFonts w:ascii="Arial Narrow" w:hAnsi="Arial Narrow" w:cs="Times New Roman"/>
                <w:b/>
                <w:i w:val="0"/>
                <w:sz w:val="20"/>
                <w:szCs w:val="20"/>
                <w:u w:val="none"/>
              </w:rPr>
            </w:pPr>
            <w:r w:rsidRPr="00E05688">
              <w:rPr>
                <w:rFonts w:ascii="Arial Narrow" w:hAnsi="Arial Narrow" w:cs="Times New Roman"/>
                <w:b/>
                <w:i w:val="0"/>
                <w:sz w:val="20"/>
                <w:szCs w:val="20"/>
                <w:u w:val="none"/>
              </w:rPr>
              <w:t>Option 4</w:t>
            </w:r>
          </w:p>
        </w:tc>
        <w:tc>
          <w:tcPr>
            <w:tcW w:w="459" w:type="pct"/>
            <w:tcBorders>
              <w:bottom w:val="single" w:sz="4" w:space="0" w:color="auto"/>
            </w:tcBorders>
            <w:vAlign w:val="center"/>
          </w:tcPr>
          <w:p w14:paraId="17C7024C"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6,000</w:t>
            </w:r>
          </w:p>
        </w:tc>
        <w:tc>
          <w:tcPr>
            <w:tcW w:w="534" w:type="pct"/>
            <w:gridSpan w:val="2"/>
            <w:tcBorders>
              <w:bottom w:val="single" w:sz="4" w:space="0" w:color="auto"/>
            </w:tcBorders>
            <w:vAlign w:val="center"/>
          </w:tcPr>
          <w:p w14:paraId="48AFCE16"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5,840</w:t>
            </w:r>
          </w:p>
        </w:tc>
        <w:tc>
          <w:tcPr>
            <w:tcW w:w="992" w:type="pct"/>
            <w:tcBorders>
              <w:bottom w:val="single" w:sz="4" w:space="0" w:color="auto"/>
            </w:tcBorders>
            <w:vAlign w:val="center"/>
          </w:tcPr>
          <w:p w14:paraId="1B820FD7"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20</w:t>
            </w:r>
          </w:p>
        </w:tc>
        <w:tc>
          <w:tcPr>
            <w:tcW w:w="662" w:type="pct"/>
            <w:tcBorders>
              <w:bottom w:val="single" w:sz="4" w:space="0" w:color="auto"/>
            </w:tcBorders>
            <w:vAlign w:val="center"/>
          </w:tcPr>
          <w:p w14:paraId="67A66985"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20</w:t>
            </w:r>
          </w:p>
        </w:tc>
        <w:tc>
          <w:tcPr>
            <w:tcW w:w="1152" w:type="pct"/>
            <w:tcBorders>
              <w:bottom w:val="single" w:sz="4" w:space="0" w:color="auto"/>
            </w:tcBorders>
            <w:vAlign w:val="center"/>
          </w:tcPr>
          <w:p w14:paraId="762AF8EB" w14:textId="77777777" w:rsidR="000F4CDF" w:rsidRPr="00EC419B" w:rsidRDefault="000F4CDF" w:rsidP="000F4CDF">
            <w:pPr>
              <w:jc w:val="right"/>
              <w:rPr>
                <w:rFonts w:ascii="Arial Narrow" w:hAnsi="Arial Narrow" w:cs="Arial"/>
                <w:sz w:val="20"/>
                <w:szCs w:val="22"/>
              </w:rPr>
            </w:pPr>
            <w:r>
              <w:rPr>
                <w:rFonts w:ascii="Arial Narrow" w:hAnsi="Arial Narrow" w:cs="Arial"/>
                <w:sz w:val="20"/>
                <w:szCs w:val="22"/>
              </w:rPr>
              <w:t>120</w:t>
            </w:r>
          </w:p>
        </w:tc>
      </w:tr>
    </w:tbl>
    <w:p w14:paraId="209B5E32" w14:textId="77777777" w:rsidR="00225C99" w:rsidRDefault="00225C99" w:rsidP="00471C3D"/>
    <w:p w14:paraId="5DBB3625" w14:textId="4F9DDED2" w:rsidR="00225C99" w:rsidRDefault="00225C99" w:rsidP="00471C3D">
      <w:r>
        <w:t xml:space="preserve">All options include 20 tonne allowances for customary </w:t>
      </w:r>
      <w:r w:rsidR="000F4CDF">
        <w:t>Māori</w:t>
      </w:r>
      <w:r>
        <w:t xml:space="preserve"> and recreational fisheries</w:t>
      </w:r>
      <w:r w:rsidR="00FC27B7">
        <w:t>, which is based on the equivalent allowances for hoki.</w:t>
      </w:r>
      <w:r>
        <w:t xml:space="preserve"> </w:t>
      </w:r>
      <w:r w:rsidR="00FC27B7">
        <w:t xml:space="preserve">Additionally, MPI proposes </w:t>
      </w:r>
      <w:r>
        <w:t xml:space="preserve">an allowance for other sources of fishing related mortality equivalent to 2% of the TACC. </w:t>
      </w:r>
      <w:r w:rsidR="00FC27B7">
        <w:t>This allowance accounts for unreported jack mackerel mortality, such as loss due to burst nets. MPI</w:t>
      </w:r>
      <w:r>
        <w:t xml:space="preserve"> welcomes stakeholder comment on these allowances.</w:t>
      </w:r>
    </w:p>
    <w:p w14:paraId="606CAA7C" w14:textId="77777777" w:rsidR="00434883" w:rsidRDefault="00434883" w:rsidP="00471C3D"/>
    <w:p w14:paraId="24631388" w14:textId="52AC06E4" w:rsidR="00E54404" w:rsidRPr="009E7B0C" w:rsidRDefault="000F4CDF" w:rsidP="00E54404">
      <w:pPr>
        <w:pStyle w:val="Heading2"/>
      </w:pPr>
      <w:bookmarkStart w:id="41" w:name="_Toc452018144"/>
      <w:r w:rsidRPr="009E7B0C">
        <w:lastRenderedPageBreak/>
        <w:t>Option 1</w:t>
      </w:r>
      <w:bookmarkEnd w:id="41"/>
    </w:p>
    <w:p w14:paraId="0EF9F4EC" w14:textId="2DF03A23" w:rsidR="000F4CDF" w:rsidRDefault="00A40CD1" w:rsidP="000F4CDF">
      <w:r>
        <w:t>As there is currently no TAC set for JMA 3, this</w:t>
      </w:r>
      <w:r w:rsidR="000F4CDF" w:rsidRPr="009E7B0C">
        <w:t xml:space="preserve"> option would set the JMA 3 TAC at 18,000 tonnes with a TACC of 17,610 tonnes</w:t>
      </w:r>
      <w:r>
        <w:t>.</w:t>
      </w:r>
    </w:p>
    <w:p w14:paraId="36E35044" w14:textId="77777777" w:rsidR="000F4CDF" w:rsidRPr="000F4CDF" w:rsidRDefault="000F4CDF" w:rsidP="000F4CDF"/>
    <w:p w14:paraId="02D68DAD" w14:textId="5C7F1731" w:rsidR="00E54404" w:rsidRPr="00E54404" w:rsidRDefault="004960ED" w:rsidP="00E54404">
      <w:pPr>
        <w:pStyle w:val="Heading2"/>
      </w:pPr>
      <w:bookmarkStart w:id="42" w:name="_Toc452018145"/>
      <w:r>
        <w:t>O</w:t>
      </w:r>
      <w:r w:rsidR="000675A0">
        <w:t xml:space="preserve">ption </w:t>
      </w:r>
      <w:r w:rsidR="000F4CDF">
        <w:t>2</w:t>
      </w:r>
      <w:bookmarkEnd w:id="42"/>
    </w:p>
    <w:p w14:paraId="3CB47653" w14:textId="370A62B9" w:rsidR="00400023" w:rsidRDefault="000675A0" w:rsidP="000675A0">
      <w:r>
        <w:t xml:space="preserve">This option </w:t>
      </w:r>
      <w:r w:rsidR="00FC27B7">
        <w:t>would</w:t>
      </w:r>
      <w:r>
        <w:t xml:space="preserve"> </w:t>
      </w:r>
      <w:r w:rsidR="002C5788">
        <w:t>set</w:t>
      </w:r>
      <w:r>
        <w:t xml:space="preserve"> the </w:t>
      </w:r>
      <w:r w:rsidR="005B097B">
        <w:t>JMA 3</w:t>
      </w:r>
      <w:r>
        <w:t xml:space="preserve"> TAC </w:t>
      </w:r>
      <w:r w:rsidR="002C5788">
        <w:t>at</w:t>
      </w:r>
      <w:r>
        <w:t xml:space="preserve"> </w:t>
      </w:r>
      <w:r w:rsidR="002C5788">
        <w:t>9</w:t>
      </w:r>
      <w:r>
        <w:t>,000 tonnes</w:t>
      </w:r>
      <w:r w:rsidR="008745B1">
        <w:t xml:space="preserve"> </w:t>
      </w:r>
      <w:r w:rsidR="002C5788">
        <w:t>with a</w:t>
      </w:r>
      <w:r w:rsidR="008745B1">
        <w:t xml:space="preserve"> TACC </w:t>
      </w:r>
      <w:r w:rsidR="002C5788">
        <w:t>of</w:t>
      </w:r>
      <w:r w:rsidR="008745B1">
        <w:t xml:space="preserve"> </w:t>
      </w:r>
      <w:r w:rsidR="002C5788">
        <w:t>8,780</w:t>
      </w:r>
      <w:r w:rsidR="008745B1">
        <w:t xml:space="preserve"> tonnes</w:t>
      </w:r>
      <w:r>
        <w:t>. This would not constrain catches at current leve</w:t>
      </w:r>
      <w:r w:rsidR="00400023">
        <w:t>ls and would</w:t>
      </w:r>
      <w:r>
        <w:t xml:space="preserve"> </w:t>
      </w:r>
      <w:r w:rsidR="00400023">
        <w:t xml:space="preserve">provide for </w:t>
      </w:r>
      <w:r w:rsidR="00225C99">
        <w:t>an</w:t>
      </w:r>
      <w:r w:rsidR="00400023">
        <w:t xml:space="preserve"> incre</w:t>
      </w:r>
      <w:r w:rsidR="00C401D2">
        <w:t>ase in catch if the abundance of</w:t>
      </w:r>
      <w:r w:rsidR="00225C99">
        <w:t xml:space="preserve"> any of the three species</w:t>
      </w:r>
      <w:r w:rsidR="00400023">
        <w:t xml:space="preserve"> increased. </w:t>
      </w:r>
    </w:p>
    <w:p w14:paraId="5A121D83" w14:textId="77777777" w:rsidR="00434883" w:rsidRDefault="00434883" w:rsidP="000675A0"/>
    <w:p w14:paraId="722C309B" w14:textId="10E67A53" w:rsidR="00400023" w:rsidRDefault="000308AC" w:rsidP="00400023">
      <w:pPr>
        <w:pStyle w:val="Heading2"/>
      </w:pPr>
      <w:bookmarkStart w:id="43" w:name="_Toc452018146"/>
      <w:r>
        <w:t>O</w:t>
      </w:r>
      <w:r w:rsidR="00400023">
        <w:t xml:space="preserve">ption </w:t>
      </w:r>
      <w:r w:rsidR="000F4CDF">
        <w:t>3</w:t>
      </w:r>
      <w:bookmarkEnd w:id="43"/>
    </w:p>
    <w:p w14:paraId="6A2A0ACD" w14:textId="0FFAA134" w:rsidR="00400023" w:rsidRDefault="00400023" w:rsidP="00400023">
      <w:r>
        <w:t xml:space="preserve">This option </w:t>
      </w:r>
      <w:r w:rsidR="00FC27B7">
        <w:t>would</w:t>
      </w:r>
      <w:r>
        <w:t xml:space="preserve"> </w:t>
      </w:r>
      <w:r w:rsidR="002C5788">
        <w:t>set</w:t>
      </w:r>
      <w:r>
        <w:t xml:space="preserve"> the </w:t>
      </w:r>
      <w:r w:rsidR="005B097B">
        <w:t>JMA 3</w:t>
      </w:r>
      <w:r>
        <w:t xml:space="preserve"> TAC </w:t>
      </w:r>
      <w:r w:rsidR="002C5788">
        <w:t>at</w:t>
      </w:r>
      <w:r>
        <w:t xml:space="preserve"> </w:t>
      </w:r>
      <w:r w:rsidR="002C5788">
        <w:t>7,5</w:t>
      </w:r>
      <w:r>
        <w:t>00 tonnes</w:t>
      </w:r>
      <w:r w:rsidR="008745B1">
        <w:t xml:space="preserve"> </w:t>
      </w:r>
      <w:r w:rsidR="002C5788">
        <w:t>with</w:t>
      </w:r>
      <w:r w:rsidR="008745B1">
        <w:t xml:space="preserve"> TACC </w:t>
      </w:r>
      <w:r w:rsidR="002C5788">
        <w:t>of</w:t>
      </w:r>
      <w:r w:rsidR="008745B1">
        <w:t xml:space="preserve"> </w:t>
      </w:r>
      <w:r w:rsidR="002C5788">
        <w:t>7,310</w:t>
      </w:r>
      <w:r w:rsidR="00C401D2">
        <w:t xml:space="preserve"> tonnes</w:t>
      </w:r>
      <w:r>
        <w:t xml:space="preserve">. As with </w:t>
      </w:r>
      <w:r w:rsidR="002C5788">
        <w:t>O</w:t>
      </w:r>
      <w:r>
        <w:t xml:space="preserve">ption 1 it would not constrain catch at current levels and would provide for </w:t>
      </w:r>
      <w:r w:rsidR="00FC27B7">
        <w:t>some</w:t>
      </w:r>
      <w:r>
        <w:t xml:space="preserve"> increase in catch.</w:t>
      </w:r>
    </w:p>
    <w:p w14:paraId="0C962697" w14:textId="77777777" w:rsidR="00434883" w:rsidRDefault="00434883" w:rsidP="00400023"/>
    <w:p w14:paraId="69ED5ABF" w14:textId="254367D7" w:rsidR="00400023" w:rsidRDefault="000308AC" w:rsidP="00400023">
      <w:pPr>
        <w:pStyle w:val="Heading2"/>
      </w:pPr>
      <w:bookmarkStart w:id="44" w:name="_Toc452018147"/>
      <w:r>
        <w:t>O</w:t>
      </w:r>
      <w:r w:rsidR="00400023">
        <w:t xml:space="preserve">ption </w:t>
      </w:r>
      <w:r w:rsidR="000F4CDF">
        <w:t>4</w:t>
      </w:r>
      <w:bookmarkEnd w:id="44"/>
    </w:p>
    <w:p w14:paraId="559666E4" w14:textId="5F040C54" w:rsidR="00FC27B7" w:rsidRDefault="00400023" w:rsidP="00400023">
      <w:r>
        <w:t xml:space="preserve">This option </w:t>
      </w:r>
      <w:r w:rsidR="00FC27B7">
        <w:t>would</w:t>
      </w:r>
      <w:r>
        <w:t xml:space="preserve"> </w:t>
      </w:r>
      <w:r w:rsidR="002C5788">
        <w:t xml:space="preserve">set </w:t>
      </w:r>
      <w:r>
        <w:t xml:space="preserve">a TAC of </w:t>
      </w:r>
      <w:r w:rsidR="002C5788">
        <w:t>6</w:t>
      </w:r>
      <w:r>
        <w:t>,000 tonnes</w:t>
      </w:r>
      <w:r w:rsidR="002C5788">
        <w:t xml:space="preserve"> with </w:t>
      </w:r>
      <w:r w:rsidR="00FB3425">
        <w:t xml:space="preserve">a TACC of </w:t>
      </w:r>
      <w:r w:rsidR="002C5788">
        <w:t>5</w:t>
      </w:r>
      <w:r w:rsidR="00FB3425">
        <w:t>,8</w:t>
      </w:r>
      <w:r w:rsidR="002C5788">
        <w:t>4</w:t>
      </w:r>
      <w:r w:rsidR="00FB3425">
        <w:t>0</w:t>
      </w:r>
      <w:r>
        <w:t xml:space="preserve"> for </w:t>
      </w:r>
      <w:r w:rsidR="005B097B">
        <w:t>JMA 3</w:t>
      </w:r>
      <w:r>
        <w:t xml:space="preserve">. This option is the closest to recent catch levels but would still not constrain catch </w:t>
      </w:r>
      <w:r w:rsidR="002C5788">
        <w:t xml:space="preserve">if </w:t>
      </w:r>
      <w:r w:rsidR="00FC27B7">
        <w:t>it</w:t>
      </w:r>
      <w:r w:rsidR="002C5788">
        <w:t xml:space="preserve"> remained </w:t>
      </w:r>
      <w:r>
        <w:t xml:space="preserve">at current levels. </w:t>
      </w:r>
      <w:r w:rsidR="00FC27B7">
        <w:t>It provides limited scope for catches to increase</w:t>
      </w:r>
      <w:r w:rsidR="004741D6">
        <w:t>.</w:t>
      </w:r>
      <w:r w:rsidR="00FC27B7">
        <w:t xml:space="preserve"> </w:t>
      </w:r>
      <w:r w:rsidR="004741D6">
        <w:t>H</w:t>
      </w:r>
      <w:r w:rsidR="00FC27B7">
        <w:t>owever</w:t>
      </w:r>
      <w:r w:rsidR="004741D6">
        <w:t>,</w:t>
      </w:r>
      <w:r w:rsidR="00FC27B7">
        <w:t xml:space="preserve"> the TAC could be reviewed if information became available </w:t>
      </w:r>
      <w:r w:rsidR="004741D6">
        <w:t xml:space="preserve">indicating </w:t>
      </w:r>
      <w:r w:rsidR="00FC27B7">
        <w:t>an increase in abundance of any of the three species.</w:t>
      </w:r>
    </w:p>
    <w:p w14:paraId="337BE199" w14:textId="77777777" w:rsidR="00471C3D" w:rsidRDefault="00471C3D" w:rsidP="00471C3D">
      <w:pPr>
        <w:pStyle w:val="Heading1"/>
      </w:pPr>
      <w:bookmarkStart w:id="45" w:name="_Toc399138995"/>
      <w:bookmarkStart w:id="46" w:name="_Toc452018148"/>
      <w:r w:rsidRPr="00933151">
        <w:t>Other Matters</w:t>
      </w:r>
      <w:bookmarkEnd w:id="45"/>
      <w:bookmarkEnd w:id="46"/>
    </w:p>
    <w:p w14:paraId="0557C84F" w14:textId="7AC95927" w:rsidR="00EF1C8E" w:rsidRDefault="00EF1C8E" w:rsidP="00EF1C8E">
      <w:r>
        <w:t>As noted earlier, fishers are not required to report the three jack mackerel species separately. Most information on species proportions comes from observers and MPI will ensure that observers continue to collect this information.</w:t>
      </w:r>
    </w:p>
    <w:p w14:paraId="7E15276B" w14:textId="77777777" w:rsidR="00434883" w:rsidRDefault="00434883" w:rsidP="00EF1C8E"/>
    <w:p w14:paraId="13AC3613" w14:textId="346F092D" w:rsidR="00EF1C8E" w:rsidRDefault="000308AC" w:rsidP="00EF1C8E">
      <w:pPr>
        <w:pStyle w:val="Heading2"/>
      </w:pPr>
      <w:bookmarkStart w:id="47" w:name="_Toc452018149"/>
      <w:r>
        <w:t>Deemed value r</w:t>
      </w:r>
      <w:r w:rsidR="00EF1C8E">
        <w:t>ates</w:t>
      </w:r>
      <w:bookmarkEnd w:id="47"/>
    </w:p>
    <w:p w14:paraId="50A3334B" w14:textId="77777777" w:rsidR="00EF1C8E" w:rsidRDefault="00EF1C8E" w:rsidP="00EF1C8E">
      <w:r w:rsidRPr="003104F7">
        <w:t>Deemed values are an economic tool that incentivises commercial fishers not to catch in excess of their indi</w:t>
      </w:r>
      <w:r>
        <w:t>vidual annual catch entitlement holdings</w:t>
      </w:r>
      <w:r w:rsidRPr="003104F7">
        <w:t>. Ensuring deemed value</w:t>
      </w:r>
      <w:r>
        <w:t xml:space="preserve"> rates are appropriately set</w:t>
      </w:r>
      <w:r w:rsidRPr="003104F7">
        <w:t xml:space="preserve"> is </w:t>
      </w:r>
      <w:r>
        <w:t xml:space="preserve">a </w:t>
      </w:r>
      <w:r w:rsidRPr="003104F7">
        <w:t>fundamental principle of the Quota Management System.</w:t>
      </w:r>
    </w:p>
    <w:p w14:paraId="1FF3AD86" w14:textId="77777777" w:rsidR="00EF1C8E" w:rsidRDefault="00EF1C8E" w:rsidP="00EF1C8E"/>
    <w:p w14:paraId="6254A905" w14:textId="600A8509" w:rsidR="00EF1C8E" w:rsidRDefault="00EF1C8E" w:rsidP="00EF1C8E">
      <w:r>
        <w:t xml:space="preserve">Catch of </w:t>
      </w:r>
      <w:r w:rsidR="005B097B">
        <w:t>JMA 3</w:t>
      </w:r>
      <w:r>
        <w:t xml:space="preserve"> has not exceeded the TACC since 1995/96. The port price for </w:t>
      </w:r>
      <w:r w:rsidR="005B097B">
        <w:t>JMA 3</w:t>
      </w:r>
      <w:r>
        <w:t xml:space="preserve"> for the 201</w:t>
      </w:r>
      <w:r w:rsidR="00340889">
        <w:t>6</w:t>
      </w:r>
      <w:r>
        <w:t>/1</w:t>
      </w:r>
      <w:r w:rsidR="00340889">
        <w:t>7</w:t>
      </w:r>
      <w:r>
        <w:t xml:space="preserve"> financial year is $0.2</w:t>
      </w:r>
      <w:r w:rsidR="00340889">
        <w:t>3</w:t>
      </w:r>
      <w:r>
        <w:t xml:space="preserve"> per kg, which represents a reduction from the $0.44 per kg f</w:t>
      </w:r>
      <w:r w:rsidR="00340889">
        <w:t>or the four-year period between 2011/12 to 2014/15</w:t>
      </w:r>
      <w:r>
        <w:t>.</w:t>
      </w:r>
      <w:r w:rsidR="00F11667">
        <w:t xml:space="preserve"> Despite the reduction in p</w:t>
      </w:r>
      <w:r w:rsidR="00812DAD">
        <w:t xml:space="preserve">ort price, the export value of jack mackerel </w:t>
      </w:r>
      <w:r w:rsidR="00FC27B7">
        <w:t>appears to have</w:t>
      </w:r>
      <w:r w:rsidR="00812DAD">
        <w:t xml:space="preserve"> gradually increased in recent years. MPI is satisfied that the current deemed value rates for jack mackerel </w:t>
      </w:r>
      <w:r w:rsidR="001D6448">
        <w:t>do not require review.</w:t>
      </w:r>
      <w:r w:rsidR="00343D62">
        <w:t xml:space="preserve"> MPI will monitor </w:t>
      </w:r>
      <w:r w:rsidR="005B097B">
        <w:t>JMA 3</w:t>
      </w:r>
      <w:r w:rsidR="00343D62">
        <w:t xml:space="preserve"> catch and review deemed value rates if there is evidence that </w:t>
      </w:r>
      <w:r w:rsidR="00AD23A4">
        <w:t>a</w:t>
      </w:r>
      <w:r w:rsidR="00343D62">
        <w:t xml:space="preserve"> </w:t>
      </w:r>
      <w:r w:rsidR="00AD23A4">
        <w:t xml:space="preserve">review is </w:t>
      </w:r>
      <w:r w:rsidR="00343D62">
        <w:t>require</w:t>
      </w:r>
      <w:r w:rsidR="00AD23A4">
        <w:t>d</w:t>
      </w:r>
      <w:r w:rsidR="00343D62">
        <w:t>.</w:t>
      </w:r>
    </w:p>
    <w:p w14:paraId="303F0E52" w14:textId="77777777" w:rsidR="00434883" w:rsidRDefault="00434883" w:rsidP="00EF1C8E"/>
    <w:p w14:paraId="0DBF23E1" w14:textId="1A3A069C" w:rsidR="00265622" w:rsidRDefault="00434883" w:rsidP="00265622">
      <w:pPr>
        <w:pStyle w:val="Heading2"/>
      </w:pPr>
      <w:bookmarkStart w:id="48" w:name="_Toc452018150"/>
      <w:r>
        <w:t>JMA</w:t>
      </w:r>
      <w:r w:rsidR="000F4CDF">
        <w:t xml:space="preserve"> </w:t>
      </w:r>
      <w:r w:rsidR="00265622">
        <w:t>1 stock</w:t>
      </w:r>
      <w:bookmarkEnd w:id="48"/>
    </w:p>
    <w:p w14:paraId="451752B2" w14:textId="3A44FBED" w:rsidR="00265622" w:rsidRDefault="00265622" w:rsidP="00EF1C8E">
      <w:r>
        <w:t xml:space="preserve">The catch limits </w:t>
      </w:r>
      <w:r w:rsidR="00880FEC">
        <w:t>for the JMA</w:t>
      </w:r>
      <w:r w:rsidR="000F4CDF">
        <w:t xml:space="preserve"> </w:t>
      </w:r>
      <w:r w:rsidR="00880FEC">
        <w:t xml:space="preserve">1 stock, which covers the east coast of the North Island, were also increased in 1993/94 and 1994/95 in response to the increased abundance of </w:t>
      </w:r>
      <w:r w:rsidR="00880FEC" w:rsidRPr="006029C3">
        <w:rPr>
          <w:i/>
        </w:rPr>
        <w:t>T. murphyi</w:t>
      </w:r>
      <w:r w:rsidR="00880FEC">
        <w:t>. The initial 5,</w:t>
      </w:r>
      <w:r w:rsidR="005F0C92">
        <w:t>9</w:t>
      </w:r>
      <w:r w:rsidR="00880FEC">
        <w:t>70 tonne TACC was increased to 8,000 tonnes for 1993/94 and to 10,</w:t>
      </w:r>
      <w:r w:rsidR="005F0C92">
        <w:t>000 tonnes for 1994/95.</w:t>
      </w:r>
      <w:r w:rsidR="002D3ECA">
        <w:t xml:space="preserve"> As with JMA3, the expectation at this time was that the increase in catch would </w:t>
      </w:r>
      <w:r w:rsidR="002D3ECA">
        <w:lastRenderedPageBreak/>
        <w:t xml:space="preserve">be made up of </w:t>
      </w:r>
      <w:r w:rsidR="002D3ECA">
        <w:rPr>
          <w:i/>
          <w:iCs/>
        </w:rPr>
        <w:t>T. murphyi</w:t>
      </w:r>
      <w:r w:rsidR="002D3ECA">
        <w:t xml:space="preserve"> and catches of the native species would not exceed the original catch limits.</w:t>
      </w:r>
    </w:p>
    <w:p w14:paraId="57FBB4A8" w14:textId="77777777" w:rsidR="005F0C92" w:rsidRDefault="005F0C92" w:rsidP="00EF1C8E"/>
    <w:p w14:paraId="2B7CF596" w14:textId="3F1C430C" w:rsidR="002D3ECA" w:rsidRDefault="005F0C92" w:rsidP="00EF1C8E">
      <w:r>
        <w:t>Unlike JMA</w:t>
      </w:r>
      <w:r w:rsidR="003820EB">
        <w:t xml:space="preserve"> </w:t>
      </w:r>
      <w:r>
        <w:t>3</w:t>
      </w:r>
      <w:r w:rsidR="002D3ECA">
        <w:t xml:space="preserve"> however</w:t>
      </w:r>
      <w:r>
        <w:t>, catch in JMA</w:t>
      </w:r>
      <w:r w:rsidR="000F4CDF">
        <w:t xml:space="preserve"> </w:t>
      </w:r>
      <w:r>
        <w:t xml:space="preserve">1 has remained at the level of the TACC since the decline in abundance of </w:t>
      </w:r>
      <w:r w:rsidRPr="006029C3">
        <w:rPr>
          <w:i/>
        </w:rPr>
        <w:t>T. murphyi</w:t>
      </w:r>
      <w:r w:rsidR="00BF6F5A">
        <w:t>. The catch composition has changed however, and since approximately 1999/00 catch has been dominated</w:t>
      </w:r>
      <w:r w:rsidR="00484B30">
        <w:t xml:space="preserve"> </w:t>
      </w:r>
      <w:r>
        <w:t xml:space="preserve">by </w:t>
      </w:r>
      <w:r w:rsidR="00484B30" w:rsidRPr="00162FE3">
        <w:rPr>
          <w:i/>
        </w:rPr>
        <w:t>T. novaezelandiae</w:t>
      </w:r>
      <w:r w:rsidR="00BF6F5A">
        <w:rPr>
          <w:i/>
        </w:rPr>
        <w:t xml:space="preserve"> </w:t>
      </w:r>
      <w:r w:rsidR="00BF6F5A">
        <w:t>(&gt;90% of catch in recent years)</w:t>
      </w:r>
      <w:r w:rsidR="00484B30">
        <w:t>. The status of this species remains unknown</w:t>
      </w:r>
      <w:r w:rsidR="002D3ECA">
        <w:t xml:space="preserve">. </w:t>
      </w:r>
    </w:p>
    <w:p w14:paraId="64EBE07E" w14:textId="77777777" w:rsidR="002D3ECA" w:rsidRDefault="002D3ECA" w:rsidP="00EF1C8E"/>
    <w:p w14:paraId="50DCC4E4" w14:textId="494C3CF0" w:rsidR="005F0C92" w:rsidRDefault="002D3ECA" w:rsidP="00EF1C8E">
      <w:r>
        <w:t xml:space="preserve">MPI acknowledges the historical expectation regarding the increase in catch being made up of </w:t>
      </w:r>
      <w:r w:rsidRPr="006029C3">
        <w:rPr>
          <w:i/>
        </w:rPr>
        <w:t>T. murphyi</w:t>
      </w:r>
      <w:r>
        <w:rPr>
          <w:i/>
        </w:rPr>
        <w:t xml:space="preserve">. </w:t>
      </w:r>
      <w:r>
        <w:t xml:space="preserve">However, </w:t>
      </w:r>
      <w:r w:rsidR="00BF6F5A">
        <w:t xml:space="preserve">MPI has no </w:t>
      </w:r>
      <w:r w:rsidR="00484B30">
        <w:t>in</w:t>
      </w:r>
      <w:r w:rsidR="00BF6F5A">
        <w:t>formation</w:t>
      </w:r>
      <w:r w:rsidR="00484B30">
        <w:t xml:space="preserve"> </w:t>
      </w:r>
      <w:r w:rsidR="00BF6F5A">
        <w:t>upon which to base a review of the management controls for JMA</w:t>
      </w:r>
      <w:r w:rsidR="000F4CDF">
        <w:t xml:space="preserve"> </w:t>
      </w:r>
      <w:r w:rsidR="00BF6F5A">
        <w:t>1</w:t>
      </w:r>
      <w:r w:rsidR="00834BFA">
        <w:t xml:space="preserve"> at this time</w:t>
      </w:r>
      <w:r w:rsidR="00BF6F5A">
        <w:t>.</w:t>
      </w:r>
      <w:r>
        <w:t xml:space="preserve"> </w:t>
      </w:r>
      <w:r w:rsidR="003700B6">
        <w:t xml:space="preserve">JMA 1 will be included in planned work on low information stocks. </w:t>
      </w:r>
      <w:r>
        <w:t>The catch limits for JMA</w:t>
      </w:r>
      <w:r w:rsidR="000F4CDF">
        <w:t xml:space="preserve"> </w:t>
      </w:r>
      <w:r>
        <w:t>1 will be reviewed when information on the status of the two native species becomes available.</w:t>
      </w:r>
    </w:p>
    <w:p w14:paraId="6714559C" w14:textId="77777777" w:rsidR="00434883" w:rsidRPr="00484B30" w:rsidRDefault="00434883" w:rsidP="00EF1C8E"/>
    <w:p w14:paraId="64E51F9F" w14:textId="77777777" w:rsidR="00471C3D" w:rsidRDefault="00471C3D" w:rsidP="00471C3D">
      <w:pPr>
        <w:pStyle w:val="Heading1"/>
      </w:pPr>
      <w:bookmarkStart w:id="49" w:name="_Toc399138996"/>
      <w:bookmarkStart w:id="50" w:name="_Toc452018151"/>
      <w:r>
        <w:t>Conclusion</w:t>
      </w:r>
      <w:bookmarkEnd w:id="49"/>
      <w:bookmarkEnd w:id="50"/>
      <w:r w:rsidR="00343D62">
        <w:t xml:space="preserve"> </w:t>
      </w:r>
    </w:p>
    <w:p w14:paraId="44FB0BCD" w14:textId="3C17C594" w:rsidR="003C63CF" w:rsidRDefault="001D6448" w:rsidP="00471C3D">
      <w:r>
        <w:t>The</w:t>
      </w:r>
      <w:r w:rsidR="00B00FC6">
        <w:t xml:space="preserve"> dominant species in the </w:t>
      </w:r>
      <w:r w:rsidR="005B097B">
        <w:t>JMA 3</w:t>
      </w:r>
      <w:r w:rsidR="00B00FC6">
        <w:t xml:space="preserve"> fishery is</w:t>
      </w:r>
      <w:r>
        <w:t xml:space="preserve"> </w:t>
      </w:r>
      <w:r w:rsidRPr="006029C3">
        <w:rPr>
          <w:i/>
        </w:rPr>
        <w:t>T. murphyi</w:t>
      </w:r>
      <w:r>
        <w:rPr>
          <w:i/>
        </w:rPr>
        <w:t xml:space="preserve">, </w:t>
      </w:r>
      <w:r w:rsidR="00343D62">
        <w:t xml:space="preserve">a species that has only been present in New Zealand for about 30 years. </w:t>
      </w:r>
      <w:r w:rsidR="00B00FC6">
        <w:t>The area encompassed by the QMA represents the southern extent of the distribution of t</w:t>
      </w:r>
      <w:r w:rsidR="003C63CF">
        <w:t>he two native jack mackerel species</w:t>
      </w:r>
      <w:r w:rsidR="00B00FC6">
        <w:t>, one of which (</w:t>
      </w:r>
      <w:r w:rsidR="00B00FC6" w:rsidRPr="00162FE3">
        <w:rPr>
          <w:i/>
        </w:rPr>
        <w:t>T. novaezelandiae</w:t>
      </w:r>
      <w:r w:rsidR="00B00FC6">
        <w:t xml:space="preserve">) comprises </w:t>
      </w:r>
      <w:r w:rsidR="002D3ECA">
        <w:t xml:space="preserve">only </w:t>
      </w:r>
      <w:r w:rsidR="00B00FC6">
        <w:t xml:space="preserve">a negligible proportion of </w:t>
      </w:r>
      <w:r w:rsidR="005B097B">
        <w:t>JMA 3</w:t>
      </w:r>
      <w:r w:rsidR="00B00FC6">
        <w:t xml:space="preserve"> catch</w:t>
      </w:r>
      <w:r w:rsidR="003C63CF">
        <w:t>.</w:t>
      </w:r>
    </w:p>
    <w:p w14:paraId="6E0086AB" w14:textId="77777777" w:rsidR="003C63CF" w:rsidRDefault="003C63CF" w:rsidP="00471C3D"/>
    <w:p w14:paraId="253B4E1A" w14:textId="72F47976" w:rsidR="003C63CF" w:rsidRDefault="003C63CF" w:rsidP="00471C3D">
      <w:r>
        <w:t xml:space="preserve">The 18,000 tonne </w:t>
      </w:r>
      <w:r w:rsidR="005B097B">
        <w:t>JMA 3</w:t>
      </w:r>
      <w:r w:rsidR="00C401D2">
        <w:t xml:space="preserve"> </w:t>
      </w:r>
      <w:r>
        <w:t>TACC was set in response to t</w:t>
      </w:r>
      <w:r w:rsidR="00343D62">
        <w:t xml:space="preserve">he invasion of </w:t>
      </w:r>
      <w:r w:rsidR="00343D62" w:rsidRPr="006029C3">
        <w:rPr>
          <w:i/>
        </w:rPr>
        <w:t>T. murphyi</w:t>
      </w:r>
      <w:r w:rsidR="00343D62">
        <w:t xml:space="preserve"> that occurred during the 1990s</w:t>
      </w:r>
      <w:r>
        <w:t xml:space="preserve">. The increased abundance of this species </w:t>
      </w:r>
      <w:r w:rsidR="00340889">
        <w:t>resulted in</w:t>
      </w:r>
      <w:r>
        <w:t xml:space="preserve"> </w:t>
      </w:r>
      <w:r w:rsidR="005B097B">
        <w:t>JMA 3</w:t>
      </w:r>
      <w:r>
        <w:t xml:space="preserve"> </w:t>
      </w:r>
      <w:r w:rsidR="00B05BD5">
        <w:t>landings</w:t>
      </w:r>
      <w:r>
        <w:t xml:space="preserve"> of between 10 and 20,000 tonnes throughout most of the 1990s. Since 2000/01 however, </w:t>
      </w:r>
      <w:r w:rsidR="005B097B">
        <w:t>JMA 3</w:t>
      </w:r>
      <w:r>
        <w:t xml:space="preserve"> catches have not exceeded 5,000 tonnes, due almost entirely to the decreased abundance of </w:t>
      </w:r>
      <w:r w:rsidRPr="006029C3">
        <w:rPr>
          <w:i/>
        </w:rPr>
        <w:t>T. murphyi</w:t>
      </w:r>
      <w:r>
        <w:rPr>
          <w:i/>
        </w:rPr>
        <w:t>.</w:t>
      </w:r>
    </w:p>
    <w:p w14:paraId="6F2FF836" w14:textId="77777777" w:rsidR="003C63CF" w:rsidRDefault="003C63CF" w:rsidP="00471C3D"/>
    <w:p w14:paraId="1E52155F" w14:textId="4A9D629A" w:rsidR="00471C3D" w:rsidRDefault="003C63CF" w:rsidP="00471C3D">
      <w:r>
        <w:t xml:space="preserve">Retaining the TACC at 18,000 tonnes is not appropriate given the demonstrated decrease in abundance of </w:t>
      </w:r>
      <w:r w:rsidRPr="006029C3">
        <w:rPr>
          <w:i/>
        </w:rPr>
        <w:t>T. murphyi</w:t>
      </w:r>
      <w:r w:rsidR="00FC27B7">
        <w:t xml:space="preserve"> and estimated low stock status of the Pacific stock.</w:t>
      </w:r>
      <w:r>
        <w:rPr>
          <w:i/>
        </w:rPr>
        <w:t xml:space="preserve"> </w:t>
      </w:r>
      <w:r w:rsidR="00DA5C60">
        <w:t xml:space="preserve">Given that the continued presence of </w:t>
      </w:r>
      <w:r w:rsidR="00DA5C60" w:rsidRPr="006029C3">
        <w:rPr>
          <w:i/>
        </w:rPr>
        <w:t>T. murphyi</w:t>
      </w:r>
      <w:r w:rsidR="00DA5C60">
        <w:t xml:space="preserve"> in New Zealand waters is likely dependant on fish arriving from the South Pacific, the current TACC is aspirational and does not reflect the current low level of abundance of this species.</w:t>
      </w:r>
      <w:r w:rsidR="00FC27B7">
        <w:t xml:space="preserve"> Additionally, </w:t>
      </w:r>
      <w:r w:rsidR="00533B70">
        <w:t xml:space="preserve">if catch were to increase to the level of the current TACC, it is likely this would create concerns regarding the sustainability of the </w:t>
      </w:r>
      <w:r w:rsidR="00B00FC6">
        <w:t>dominant</w:t>
      </w:r>
      <w:r w:rsidR="00533B70">
        <w:t xml:space="preserve"> native species</w:t>
      </w:r>
      <w:r w:rsidR="00B00FC6">
        <w:t xml:space="preserve"> found in JMA 3 (</w:t>
      </w:r>
      <w:r w:rsidR="00B00FC6" w:rsidRPr="008B6C6E">
        <w:rPr>
          <w:i/>
        </w:rPr>
        <w:t>T. declivis</w:t>
      </w:r>
      <w:r w:rsidR="00B00FC6">
        <w:t>)</w:t>
      </w:r>
      <w:r w:rsidR="00533B70">
        <w:t xml:space="preserve">. </w:t>
      </w:r>
    </w:p>
    <w:p w14:paraId="4E0AAAC3" w14:textId="77777777" w:rsidR="00DA5C60" w:rsidRDefault="00DA5C60" w:rsidP="00471C3D"/>
    <w:p w14:paraId="14817822" w14:textId="2E1958FF" w:rsidR="00C401D2" w:rsidRDefault="00DA5C60" w:rsidP="00471C3D">
      <w:r>
        <w:t xml:space="preserve">MPI proposes </w:t>
      </w:r>
      <w:r w:rsidR="000F4CDF">
        <w:t>four</w:t>
      </w:r>
      <w:r>
        <w:t xml:space="preserve"> options, </w:t>
      </w:r>
      <w:r w:rsidR="000F4CDF">
        <w:t>three</w:t>
      </w:r>
      <w:r>
        <w:t xml:space="preserve"> of which involve reducing the </w:t>
      </w:r>
      <w:r w:rsidR="005B097B">
        <w:t>JMA 3</w:t>
      </w:r>
      <w:r>
        <w:t xml:space="preserve"> TACC. In all cases however, the TACC would still re</w:t>
      </w:r>
      <w:r w:rsidR="009E7598">
        <w:t>main above recent catch levels an</w:t>
      </w:r>
      <w:r w:rsidR="0044691F">
        <w:t>d would provide some opportunity for catches to increase</w:t>
      </w:r>
      <w:r w:rsidR="00C401D2">
        <w:t xml:space="preserve">. </w:t>
      </w:r>
    </w:p>
    <w:p w14:paraId="4AA8BD56" w14:textId="77777777" w:rsidR="00C401D2" w:rsidRDefault="00C401D2" w:rsidP="00471C3D"/>
    <w:p w14:paraId="0A45DF19" w14:textId="02047D6C" w:rsidR="00DA5C60" w:rsidRPr="00DA5C60" w:rsidRDefault="00DE142F" w:rsidP="00471C3D">
      <w:r>
        <w:t xml:space="preserve">Currently, only a TACC is set for </w:t>
      </w:r>
      <w:r w:rsidR="005B097B">
        <w:t>JMA 3</w:t>
      </w:r>
      <w:r>
        <w:t xml:space="preserve">. </w:t>
      </w:r>
      <w:r w:rsidR="00C401D2">
        <w:t xml:space="preserve">All options </w:t>
      </w:r>
      <w:r>
        <w:t>therefore also</w:t>
      </w:r>
      <w:r w:rsidR="00C401D2">
        <w:t xml:space="preserve"> involve setting a TAC and allowances for the first time</w:t>
      </w:r>
      <w:r>
        <w:t>. MPI proposes an</w:t>
      </w:r>
      <w:r w:rsidRPr="00F86130">
        <w:t xml:space="preserve"> allowance of 2% of the TAC</w:t>
      </w:r>
      <w:r w:rsidR="00533B70">
        <w:t>C</w:t>
      </w:r>
      <w:r w:rsidRPr="00F86130">
        <w:t xml:space="preserve"> to account for other sources</w:t>
      </w:r>
      <w:r>
        <w:t xml:space="preserve"> of fishing related mortality and 20 tonne</w:t>
      </w:r>
      <w:r w:rsidRPr="00F86130">
        <w:t xml:space="preserve"> allowances</w:t>
      </w:r>
      <w:r w:rsidR="00533B70">
        <w:t xml:space="preserve"> for r</w:t>
      </w:r>
      <w:r w:rsidRPr="00F86130">
        <w:t xml:space="preserve">ecreational </w:t>
      </w:r>
      <w:r w:rsidR="000F4CDF">
        <w:t>and customary Mā</w:t>
      </w:r>
      <w:r>
        <w:t>ori catch for all options.</w:t>
      </w:r>
    </w:p>
    <w:p w14:paraId="358C76E8" w14:textId="77777777" w:rsidR="00471C3D" w:rsidRDefault="00471C3D" w:rsidP="00471C3D"/>
    <w:p w14:paraId="68BA7E4B" w14:textId="77777777" w:rsidR="00786686" w:rsidRDefault="00786686"/>
    <w:sectPr w:rsidR="00786686">
      <w:footerReference w:type="even" r:id="rId28"/>
      <w:footerReference w:type="default" r:id="rId29"/>
      <w:type w:val="oddPage"/>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32DF" w14:textId="77777777" w:rsidR="000F4CDF" w:rsidRDefault="000F4CDF">
      <w:r>
        <w:separator/>
      </w:r>
    </w:p>
  </w:endnote>
  <w:endnote w:type="continuationSeparator" w:id="0">
    <w:p w14:paraId="24CA8EFE" w14:textId="77777777" w:rsidR="000F4CDF" w:rsidRDefault="000F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2C30" w14:textId="77777777" w:rsidR="000F4CDF" w:rsidRDefault="000F4CDF">
    <w:pPr>
      <w:pStyle w:val="Footer"/>
    </w:pPr>
    <w:r>
      <w:rPr>
        <w:noProof/>
        <w:lang w:eastAsia="en-NZ"/>
      </w:rPr>
      <w:drawing>
        <wp:anchor distT="0" distB="0" distL="114300" distR="114300" simplePos="0" relativeHeight="251659776" behindDoc="0" locked="0" layoutInCell="1" allowOverlap="1" wp14:anchorId="4FB1120F" wp14:editId="570EB246">
          <wp:simplePos x="0" y="0"/>
          <wp:positionH relativeFrom="column">
            <wp:posOffset>1565275</wp:posOffset>
          </wp:positionH>
          <wp:positionV relativeFrom="paragraph">
            <wp:posOffset>70485</wp:posOffset>
          </wp:positionV>
          <wp:extent cx="2343785" cy="284480"/>
          <wp:effectExtent l="0" t="0" r="0" b="1270"/>
          <wp:wrapNone/>
          <wp:docPr id="15" name="Picture 15"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ing-and-protecting-new-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752" behindDoc="0" locked="0" layoutInCell="1" allowOverlap="1" wp14:anchorId="69DA05B0" wp14:editId="6C191E1B">
          <wp:simplePos x="0" y="0"/>
          <wp:positionH relativeFrom="column">
            <wp:posOffset>-1274445</wp:posOffset>
          </wp:positionH>
          <wp:positionV relativeFrom="paragraph">
            <wp:posOffset>131445</wp:posOffset>
          </wp:positionV>
          <wp:extent cx="1656080" cy="168910"/>
          <wp:effectExtent l="0" t="0" r="1270" b="2540"/>
          <wp:wrapNone/>
          <wp:docPr id="14" name="Picture 14"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1C21" w14:textId="77777777" w:rsidR="000F4CDF" w:rsidRDefault="000F4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99623BC" w14:textId="77777777" w:rsidR="000F4CDF" w:rsidRDefault="000F4C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EA20" w14:textId="77777777" w:rsidR="000F4CDF" w:rsidRPr="00231D6D" w:rsidRDefault="000F4CDF">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163B62">
      <w:rPr>
        <w:rStyle w:val="PageNumber"/>
        <w:noProof/>
      </w:rPr>
      <w:t>i</w:t>
    </w:r>
    <w:r w:rsidRPr="00231D6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3D35" w14:textId="77777777" w:rsidR="000F4CDF" w:rsidRDefault="000F4C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B707" w14:textId="77777777" w:rsidR="000F4CDF" w:rsidRDefault="000F4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05B6E31" w14:textId="77777777" w:rsidR="000F4CDF" w:rsidRDefault="000F4CD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1820" w14:textId="2664978B" w:rsidR="000F4CDF" w:rsidRPr="00231D6D" w:rsidRDefault="000F4CDF">
    <w:pPr>
      <w:pStyle w:val="Footer"/>
      <w:pBdr>
        <w:top w:val="single" w:sz="4" w:space="1" w:color="auto"/>
      </w:pBdr>
      <w:tabs>
        <w:tab w:val="clear" w:pos="8640"/>
      </w:tabs>
      <w:jc w:val="center"/>
    </w:pPr>
    <w:r>
      <w:rPr>
        <w:rStyle w:val="PageNumber"/>
      </w:rPr>
      <w:t>i</w:t>
    </w: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163B62">
      <w:rPr>
        <w:rStyle w:val="PageNumber"/>
        <w:noProof/>
      </w:rPr>
      <w:t>i</w:t>
    </w:r>
    <w:r w:rsidRPr="00231D6D">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19CF" w14:textId="77777777" w:rsidR="000F4CDF" w:rsidRDefault="000F4CD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853B" w14:textId="4FADAB98" w:rsidR="000F4CDF" w:rsidRPr="0063707E" w:rsidRDefault="000F4CDF">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163B62">
      <w:rPr>
        <w:rStyle w:val="PageNumber"/>
        <w:noProof/>
      </w:rPr>
      <w:t>10</w:t>
    </w:r>
    <w:r w:rsidRPr="0063707E">
      <w:rPr>
        <w:rStyle w:val="PageNumber"/>
      </w:rPr>
      <w:fldChar w:fldCharType="end"/>
    </w:r>
    <w:r w:rsidRPr="0063707E">
      <w:rPr>
        <w:rStyle w:val="PageNumber"/>
      </w:rPr>
      <w:t xml:space="preserve"> </w:t>
    </w:r>
    <w:r w:rsidRPr="0063707E">
      <w:sym w:font="Symbol" w:char="F0B7"/>
    </w:r>
    <w:r>
      <w:t xml:space="preserve"> Review of Management Controls for JMA 3 </w:t>
    </w:r>
    <w:r w:rsidRPr="00C57E79">
      <w:t xml:space="preserve"> </w:t>
    </w:r>
    <w:r w:rsidRPr="0063707E">
      <w:rPr>
        <w:rStyle w:val="PageNumber"/>
      </w:rPr>
      <w:tab/>
    </w:r>
    <w:r>
      <w:t>Ministry for Primary Industries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327D" w14:textId="579B60D0" w:rsidR="000F4CDF" w:rsidRPr="00C57E79" w:rsidRDefault="000F4CDF">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t xml:space="preserve">Review of Management Controls for JMA 3 </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163B62">
      <w:rPr>
        <w:rStyle w:val="PageNumber"/>
        <w:noProof/>
      </w:rPr>
      <w:t>9</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738E" w14:textId="77777777" w:rsidR="000F4CDF" w:rsidRDefault="000F4CDF">
      <w:r>
        <w:separator/>
      </w:r>
    </w:p>
  </w:footnote>
  <w:footnote w:type="continuationSeparator" w:id="0">
    <w:p w14:paraId="4596CE83" w14:textId="77777777" w:rsidR="000F4CDF" w:rsidRDefault="000F4CDF">
      <w:r>
        <w:continuationSeparator/>
      </w:r>
    </w:p>
  </w:footnote>
  <w:footnote w:id="1">
    <w:p w14:paraId="0C03BDCE" w14:textId="31A2D847" w:rsidR="000F4CDF" w:rsidRPr="00B04B03" w:rsidRDefault="000F4CDF">
      <w:pPr>
        <w:pStyle w:val="FootnoteText"/>
        <w:rPr>
          <w:rFonts w:ascii="Arial Narrow" w:hAnsi="Arial Narrow"/>
          <w:sz w:val="18"/>
        </w:rPr>
      </w:pPr>
      <w:r w:rsidRPr="00B04B03">
        <w:rPr>
          <w:rStyle w:val="FootnoteReference"/>
          <w:rFonts w:ascii="Arial Narrow" w:hAnsi="Arial Narrow"/>
          <w:sz w:val="18"/>
        </w:rPr>
        <w:footnoteRef/>
      </w:r>
      <w:r w:rsidRPr="00B04B03">
        <w:rPr>
          <w:rFonts w:ascii="Arial Narrow" w:hAnsi="Arial Narrow"/>
          <w:sz w:val="18"/>
        </w:rPr>
        <w:t xml:space="preserve"> B</w:t>
      </w:r>
      <w:r w:rsidRPr="00B04B03">
        <w:rPr>
          <w:rFonts w:ascii="Arial Narrow" w:hAnsi="Arial Narrow"/>
          <w:sz w:val="18"/>
          <w:vertAlign w:val="subscript"/>
        </w:rPr>
        <w:t>0</w:t>
      </w:r>
      <w:r w:rsidRPr="00B04B03">
        <w:rPr>
          <w:rFonts w:ascii="Arial Narrow" w:hAnsi="Arial Narrow"/>
          <w:sz w:val="18"/>
        </w:rPr>
        <w:t xml:space="preserve"> refers to the biomass that theoretically would have occurred if the stock had never been fished</w:t>
      </w:r>
      <w:r w:rsidR="00B04B03">
        <w:rPr>
          <w:rFonts w:ascii="Arial Narrow" w:hAnsi="Arial Narrow"/>
          <w:sz w:val="18"/>
        </w:rPr>
        <w:t>.</w:t>
      </w:r>
    </w:p>
  </w:footnote>
  <w:footnote w:id="2">
    <w:p w14:paraId="65AC5398" w14:textId="4F4FF40F" w:rsidR="000F4CDF" w:rsidRDefault="000F4CDF">
      <w:pPr>
        <w:pStyle w:val="FootnoteText"/>
      </w:pPr>
      <w:r w:rsidRPr="00B04B03">
        <w:rPr>
          <w:rStyle w:val="FootnoteReference"/>
          <w:rFonts w:ascii="Arial Narrow" w:hAnsi="Arial Narrow"/>
          <w:sz w:val="18"/>
        </w:rPr>
        <w:footnoteRef/>
      </w:r>
      <w:r w:rsidRPr="00B04B03">
        <w:rPr>
          <w:rFonts w:ascii="Arial Narrow" w:hAnsi="Arial Narrow"/>
          <w:sz w:val="18"/>
        </w:rPr>
        <w:t xml:space="preserve"> In contrast, JMA 7 is classed as a Tier 1 stock due to the much higher catch level taken from that fishery</w:t>
      </w:r>
      <w:r w:rsidR="00B04B03">
        <w:rPr>
          <w:rFonts w:ascii="Arial Narrow" w:hAnsi="Arial Narrow"/>
          <w:sz w:val="18"/>
        </w:rPr>
        <w:t>.</w:t>
      </w:r>
    </w:p>
  </w:footnote>
  <w:footnote w:id="3">
    <w:p w14:paraId="474B0CB9" w14:textId="6B1A7255" w:rsidR="000F4CDF" w:rsidRDefault="000F4CDF">
      <w:pPr>
        <w:pStyle w:val="FootnoteText"/>
      </w:pPr>
      <w:r>
        <w:rPr>
          <w:rStyle w:val="FootnoteReference"/>
        </w:rPr>
        <w:footnoteRef/>
      </w:r>
      <w:r>
        <w:t xml:space="preserve"> Diagram taken from paper presented at 3</w:t>
      </w:r>
      <w:r w:rsidRPr="005C1F1A">
        <w:rPr>
          <w:vertAlign w:val="superscript"/>
        </w:rPr>
        <w:t>rd</w:t>
      </w:r>
      <w:r>
        <w:t xml:space="preserve"> meeting of the SPRFMO Scientific Committee, October 2015. Paper available </w:t>
      </w:r>
      <w:hyperlink r:id="rId1" w:history="1">
        <w:r>
          <w:rPr>
            <w:rStyle w:val="Hyperlink"/>
          </w:rPr>
          <w:t>here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381E" w14:textId="77777777" w:rsidR="000F4CDF" w:rsidRDefault="000F4CDF" w:rsidP="009F7A2D">
    <w:pPr>
      <w:pStyle w:val="Header"/>
      <w:jc w:val="right"/>
    </w:pPr>
    <w:r>
      <w:rPr>
        <w:noProof/>
        <w:lang w:eastAsia="en-NZ"/>
      </w:rPr>
      <w:drawing>
        <wp:anchor distT="0" distB="0" distL="114300" distR="114300" simplePos="0" relativeHeight="251656704" behindDoc="0" locked="0" layoutInCell="1" allowOverlap="1" wp14:anchorId="2584F1B3" wp14:editId="783935E4">
          <wp:simplePos x="0" y="0"/>
          <wp:positionH relativeFrom="column">
            <wp:posOffset>705485</wp:posOffset>
          </wp:positionH>
          <wp:positionV relativeFrom="paragraph">
            <wp:posOffset>-39370</wp:posOffset>
          </wp:positionV>
          <wp:extent cx="3200400" cy="734695"/>
          <wp:effectExtent l="0" t="0" r="0" b="8255"/>
          <wp:wrapNone/>
          <wp:docPr id="10" name="Picture 10"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D3">
      <w:rPr>
        <w:noProof/>
        <w:lang w:eastAsia="en-NZ"/>
      </w:rPr>
      <w:drawing>
        <wp:anchor distT="0" distB="0" distL="114300" distR="114300" simplePos="0" relativeHeight="251657728" behindDoc="0" locked="0" layoutInCell="1" allowOverlap="1" wp14:anchorId="45D5722D" wp14:editId="2889F60D">
          <wp:simplePos x="0" y="0"/>
          <wp:positionH relativeFrom="column">
            <wp:posOffset>-3159125</wp:posOffset>
          </wp:positionH>
          <wp:positionV relativeFrom="paragraph">
            <wp:posOffset>-683260</wp:posOffset>
          </wp:positionV>
          <wp:extent cx="1969770" cy="11201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1120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18F7" w14:textId="77777777" w:rsidR="000F4CDF" w:rsidRDefault="000F4CDF" w:rsidP="009F7A2D">
    <w:pPr>
      <w:pStyle w:val="Header"/>
      <w:jc w:val="right"/>
    </w:pPr>
    <w:r>
      <w:rPr>
        <w:noProof/>
        <w:lang w:eastAsia="en-NZ"/>
      </w:rPr>
      <mc:AlternateContent>
        <mc:Choice Requires="wps">
          <w:drawing>
            <wp:anchor distT="0" distB="0" distL="114300" distR="114300" simplePos="0" relativeHeight="251661824" behindDoc="0" locked="0" layoutInCell="1" allowOverlap="1" wp14:anchorId="5BDE9971" wp14:editId="05B162C4">
              <wp:simplePos x="0" y="0"/>
              <wp:positionH relativeFrom="column">
                <wp:posOffset>-3159125</wp:posOffset>
              </wp:positionH>
              <wp:positionV relativeFrom="paragraph">
                <wp:posOffset>-454660</wp:posOffset>
              </wp:positionV>
              <wp:extent cx="2160270" cy="10744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7E93" id="Rectangle 4" o:spid="_x0000_s1026" style="position:absolute;margin-left:-248.75pt;margin-top:-35.8pt;width:170.1pt;height:8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" fillcolor="#fdb913" stroked="f" strokeweight="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1410" w14:textId="77777777" w:rsidR="000F4CDF" w:rsidRDefault="000F4CDF" w:rsidP="009F7A2D">
    <w:pPr>
      <w:pStyle w:val="Header"/>
      <w:jc w:val="right"/>
    </w:pPr>
    <w:r>
      <w:rPr>
        <w:noProof/>
        <w:lang w:eastAsia="en-NZ"/>
      </w:rPr>
      <mc:AlternateContent>
        <mc:Choice Requires="wps">
          <w:drawing>
            <wp:anchor distT="0" distB="0" distL="114300" distR="114300" simplePos="0" relativeHeight="251655680" behindDoc="0" locked="0" layoutInCell="1" allowOverlap="1" wp14:anchorId="1AA4E49A" wp14:editId="42E2A5E9">
              <wp:simplePos x="0" y="0"/>
              <wp:positionH relativeFrom="column">
                <wp:posOffset>-3159125</wp:posOffset>
              </wp:positionH>
              <wp:positionV relativeFrom="paragraph">
                <wp:posOffset>-454660</wp:posOffset>
              </wp:positionV>
              <wp:extent cx="2160270" cy="10744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6E93" id="Rectangle 4" o:spid="_x0000_s1026" style="position:absolute;margin-left:-248.75pt;margin-top:-35.8pt;width:170.1pt;height:8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P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AR9/QP&#10;fAIAAPoEAAAOAAAAAAAAAAAAAAAAAC4CAABkcnMvZTJvRG9jLnhtbFBLAQItABQABgAIAAAAIQCi&#10;dxNp5AAAAA4BAAAPAAAAAAAAAAAAAAAAANYEAABkcnMvZG93bnJldi54bWxQSwUGAAAAAAQABADz&#10;AAAA5wUAAAAA&#10;" fillcolor="#fdb913"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FFFFFF88"/>
    <w:multiLevelType w:val="singleLevel"/>
    <w:tmpl w:val="2E42FB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136B1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6447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904BA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C3758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9F68F9"/>
    <w:multiLevelType w:val="multilevel"/>
    <w:tmpl w:val="EFB46E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0704D82"/>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9"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8FF2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56F47"/>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2" w15:restartNumberingAfterBreak="0">
    <w:nsid w:val="20A5068D"/>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3" w15:restartNumberingAfterBreak="0">
    <w:nsid w:val="23361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F6FF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7157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6115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8F57B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8" w15:restartNumberingAfterBreak="0">
    <w:nsid w:val="4B745AC8"/>
    <w:multiLevelType w:val="singleLevel"/>
    <w:tmpl w:val="FD288032"/>
    <w:lvl w:ilvl="0">
      <w:start w:val="1"/>
      <w:numFmt w:val="decimal"/>
      <w:lvlText w:val="%1."/>
      <w:lvlJc w:val="left"/>
      <w:pPr>
        <w:tabs>
          <w:tab w:val="num" w:pos="360"/>
        </w:tabs>
        <w:ind w:left="360" w:hanging="360"/>
      </w:pPr>
      <w:rPr>
        <w:rFonts w:hint="default"/>
      </w:rPr>
    </w:lvl>
  </w:abstractNum>
  <w:abstractNum w:abstractNumId="19" w15:restartNumberingAfterBreak="0">
    <w:nsid w:val="4C157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21" w15:restartNumberingAfterBreak="0">
    <w:nsid w:val="4ED62B39"/>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2" w15:restartNumberingAfterBreak="0">
    <w:nsid w:val="52B64A88"/>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35352E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3C60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E5358F"/>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6"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27" w15:restartNumberingAfterBreak="0">
    <w:nsid w:val="61C76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094542"/>
    <w:multiLevelType w:val="hybridMultilevel"/>
    <w:tmpl w:val="D7465A36"/>
    <w:lvl w:ilvl="0" w:tplc="33DCEE24">
      <w:start w:val="1"/>
      <w:numFmt w:val="decimal"/>
      <w:lvlText w:val="%1"/>
      <w:lvlJc w:val="left"/>
      <w:pPr>
        <w:ind w:left="720" w:hanging="360"/>
      </w:pPr>
      <w:rPr>
        <w:rFonts w:ascii="Times New Roman" w:hAnsi="Times New Roman" w:cs="Times New Roman" w:hint="default"/>
        <w:b w:val="0"/>
        <w:i w:val="0"/>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29" w15:restartNumberingAfterBreak="0">
    <w:nsid w:val="70F069F4"/>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6B07E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1E356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num w:numId="1">
    <w:abstractNumId w:val="3"/>
  </w:num>
  <w:num w:numId="2">
    <w:abstractNumId w:val="3"/>
  </w:num>
  <w:num w:numId="3">
    <w:abstractNumId w:val="3"/>
  </w:num>
  <w:num w:numId="4">
    <w:abstractNumId w:val="3"/>
  </w:num>
  <w:num w:numId="5">
    <w:abstractNumId w:val="3"/>
  </w:num>
  <w:num w:numId="6">
    <w:abstractNumId w:val="17"/>
  </w:num>
  <w:num w:numId="7">
    <w:abstractNumId w:val="31"/>
  </w:num>
  <w:num w:numId="8">
    <w:abstractNumId w:val="4"/>
  </w:num>
  <w:num w:numId="9">
    <w:abstractNumId w:val="16"/>
  </w:num>
  <w:num w:numId="10">
    <w:abstractNumId w:val="2"/>
  </w:num>
  <w:num w:numId="11">
    <w:abstractNumId w:val="26"/>
  </w:num>
  <w:num w:numId="12">
    <w:abstractNumId w:val="12"/>
  </w:num>
  <w:num w:numId="13">
    <w:abstractNumId w:val="8"/>
  </w:num>
  <w:num w:numId="14">
    <w:abstractNumId w:val="24"/>
  </w:num>
  <w:num w:numId="15">
    <w:abstractNumId w:val="19"/>
  </w:num>
  <w:num w:numId="16">
    <w:abstractNumId w:val="26"/>
  </w:num>
  <w:num w:numId="17">
    <w:abstractNumId w:val="11"/>
  </w:num>
  <w:num w:numId="18">
    <w:abstractNumId w:val="21"/>
  </w:num>
  <w:num w:numId="19">
    <w:abstractNumId w:val="25"/>
  </w:num>
  <w:num w:numId="20">
    <w:abstractNumId w:val="7"/>
  </w:num>
  <w:num w:numId="21">
    <w:abstractNumId w:val="27"/>
  </w:num>
  <w:num w:numId="22">
    <w:abstractNumId w:val="10"/>
  </w:num>
  <w:num w:numId="23">
    <w:abstractNumId w:val="13"/>
  </w:num>
  <w:num w:numId="24">
    <w:abstractNumId w:val="26"/>
  </w:num>
  <w:num w:numId="25">
    <w:abstractNumId w:val="30"/>
  </w:num>
  <w:num w:numId="26">
    <w:abstractNumId w:val="20"/>
  </w:num>
  <w:num w:numId="27">
    <w:abstractNumId w:val="7"/>
  </w:num>
  <w:num w:numId="28">
    <w:abstractNumId w:val="6"/>
  </w:num>
  <w:num w:numId="29">
    <w:abstractNumId w:val="18"/>
  </w:num>
  <w:num w:numId="30">
    <w:abstractNumId w:val="15"/>
  </w:num>
  <w:num w:numId="31">
    <w:abstractNumId w:val="23"/>
  </w:num>
  <w:num w:numId="32">
    <w:abstractNumId w:val="23"/>
  </w:num>
  <w:num w:numId="33">
    <w:abstractNumId w:val="29"/>
  </w:num>
  <w:num w:numId="34">
    <w:abstractNumId w:val="5"/>
  </w:num>
  <w:num w:numId="35">
    <w:abstractNumId w:val="1"/>
  </w:num>
  <w:num w:numId="36">
    <w:abstractNumId w:val="0"/>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58369">
      <o:colormru v:ext="edit" colors="#fdb913,#005447"/>
      <o:colormenu v:ext="edit" fillcolor="#005447"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15376"/>
    <w:rsid w:val="00026EA6"/>
    <w:rsid w:val="000308AC"/>
    <w:rsid w:val="00044375"/>
    <w:rsid w:val="00044A14"/>
    <w:rsid w:val="00052350"/>
    <w:rsid w:val="000557B2"/>
    <w:rsid w:val="00063F89"/>
    <w:rsid w:val="00066DAB"/>
    <w:rsid w:val="000675A0"/>
    <w:rsid w:val="00076AC3"/>
    <w:rsid w:val="00081A7F"/>
    <w:rsid w:val="00084F7E"/>
    <w:rsid w:val="00097C01"/>
    <w:rsid w:val="000B5154"/>
    <w:rsid w:val="000D0D1F"/>
    <w:rsid w:val="000F4CDF"/>
    <w:rsid w:val="000F6E28"/>
    <w:rsid w:val="00101AD0"/>
    <w:rsid w:val="00115D82"/>
    <w:rsid w:val="0011729A"/>
    <w:rsid w:val="00162FE3"/>
    <w:rsid w:val="00163B62"/>
    <w:rsid w:val="0018536A"/>
    <w:rsid w:val="00185CEB"/>
    <w:rsid w:val="00193E1C"/>
    <w:rsid w:val="001B7B52"/>
    <w:rsid w:val="001C5776"/>
    <w:rsid w:val="001D20CB"/>
    <w:rsid w:val="001D6448"/>
    <w:rsid w:val="001E51D0"/>
    <w:rsid w:val="0020484E"/>
    <w:rsid w:val="00207B8A"/>
    <w:rsid w:val="00225C99"/>
    <w:rsid w:val="00231D6D"/>
    <w:rsid w:val="002436A1"/>
    <w:rsid w:val="00251A30"/>
    <w:rsid w:val="002551B2"/>
    <w:rsid w:val="0025606C"/>
    <w:rsid w:val="002604CD"/>
    <w:rsid w:val="00265622"/>
    <w:rsid w:val="00267E51"/>
    <w:rsid w:val="00290D24"/>
    <w:rsid w:val="002A4D2C"/>
    <w:rsid w:val="002A6A6A"/>
    <w:rsid w:val="002C345D"/>
    <w:rsid w:val="002C5788"/>
    <w:rsid w:val="002C63E2"/>
    <w:rsid w:val="002D1579"/>
    <w:rsid w:val="002D3ECA"/>
    <w:rsid w:val="002E629B"/>
    <w:rsid w:val="002F5F0F"/>
    <w:rsid w:val="003035B7"/>
    <w:rsid w:val="00340889"/>
    <w:rsid w:val="00343D62"/>
    <w:rsid w:val="00344267"/>
    <w:rsid w:val="00367A7A"/>
    <w:rsid w:val="003700B6"/>
    <w:rsid w:val="00371518"/>
    <w:rsid w:val="003820EB"/>
    <w:rsid w:val="003A403C"/>
    <w:rsid w:val="003C63CF"/>
    <w:rsid w:val="003D02BF"/>
    <w:rsid w:val="003E4E01"/>
    <w:rsid w:val="003E686C"/>
    <w:rsid w:val="003F258C"/>
    <w:rsid w:val="00400023"/>
    <w:rsid w:val="00434883"/>
    <w:rsid w:val="004412A2"/>
    <w:rsid w:val="0044691F"/>
    <w:rsid w:val="004478CC"/>
    <w:rsid w:val="00471C3D"/>
    <w:rsid w:val="004741D6"/>
    <w:rsid w:val="00474D78"/>
    <w:rsid w:val="00482732"/>
    <w:rsid w:val="00484B30"/>
    <w:rsid w:val="004945C1"/>
    <w:rsid w:val="004960ED"/>
    <w:rsid w:val="004C254B"/>
    <w:rsid w:val="004C51C1"/>
    <w:rsid w:val="004D0BB8"/>
    <w:rsid w:val="004D113D"/>
    <w:rsid w:val="004D1673"/>
    <w:rsid w:val="004F452C"/>
    <w:rsid w:val="0050492A"/>
    <w:rsid w:val="0052013F"/>
    <w:rsid w:val="0052102A"/>
    <w:rsid w:val="00533B70"/>
    <w:rsid w:val="00555627"/>
    <w:rsid w:val="00592333"/>
    <w:rsid w:val="00596C86"/>
    <w:rsid w:val="005B097B"/>
    <w:rsid w:val="005B4D22"/>
    <w:rsid w:val="005C1F1A"/>
    <w:rsid w:val="005D6337"/>
    <w:rsid w:val="005F0C92"/>
    <w:rsid w:val="005F4C3D"/>
    <w:rsid w:val="005F5921"/>
    <w:rsid w:val="006029C3"/>
    <w:rsid w:val="0060668B"/>
    <w:rsid w:val="0063707E"/>
    <w:rsid w:val="0063762B"/>
    <w:rsid w:val="0065384F"/>
    <w:rsid w:val="006822A7"/>
    <w:rsid w:val="00682345"/>
    <w:rsid w:val="006A4F72"/>
    <w:rsid w:val="006C5579"/>
    <w:rsid w:val="006C57DB"/>
    <w:rsid w:val="006C65ED"/>
    <w:rsid w:val="006D0580"/>
    <w:rsid w:val="006F146F"/>
    <w:rsid w:val="006F66E9"/>
    <w:rsid w:val="006F6D2B"/>
    <w:rsid w:val="00703CEE"/>
    <w:rsid w:val="007075EB"/>
    <w:rsid w:val="0071718C"/>
    <w:rsid w:val="00717C57"/>
    <w:rsid w:val="00720878"/>
    <w:rsid w:val="007366F3"/>
    <w:rsid w:val="0074189F"/>
    <w:rsid w:val="00743021"/>
    <w:rsid w:val="00786686"/>
    <w:rsid w:val="007869B3"/>
    <w:rsid w:val="00795E94"/>
    <w:rsid w:val="007B27A1"/>
    <w:rsid w:val="007B49D1"/>
    <w:rsid w:val="007B752C"/>
    <w:rsid w:val="007C06D6"/>
    <w:rsid w:val="007E7494"/>
    <w:rsid w:val="00812DAD"/>
    <w:rsid w:val="008157D4"/>
    <w:rsid w:val="00834BFA"/>
    <w:rsid w:val="00841596"/>
    <w:rsid w:val="00866F96"/>
    <w:rsid w:val="008745B1"/>
    <w:rsid w:val="00880FEC"/>
    <w:rsid w:val="008A2739"/>
    <w:rsid w:val="008A6C96"/>
    <w:rsid w:val="008B0608"/>
    <w:rsid w:val="008B34A6"/>
    <w:rsid w:val="008B6C6E"/>
    <w:rsid w:val="008E1419"/>
    <w:rsid w:val="008E6C1B"/>
    <w:rsid w:val="008F2F80"/>
    <w:rsid w:val="008F5E75"/>
    <w:rsid w:val="00912671"/>
    <w:rsid w:val="009303F7"/>
    <w:rsid w:val="0094089D"/>
    <w:rsid w:val="0094123A"/>
    <w:rsid w:val="00943819"/>
    <w:rsid w:val="00965DA1"/>
    <w:rsid w:val="00973607"/>
    <w:rsid w:val="00987142"/>
    <w:rsid w:val="009A5A90"/>
    <w:rsid w:val="009B04EA"/>
    <w:rsid w:val="009B24D4"/>
    <w:rsid w:val="009D78E1"/>
    <w:rsid w:val="009E1541"/>
    <w:rsid w:val="009E7598"/>
    <w:rsid w:val="009E7B0C"/>
    <w:rsid w:val="009F31AF"/>
    <w:rsid w:val="009F7988"/>
    <w:rsid w:val="009F7A2D"/>
    <w:rsid w:val="00A27A60"/>
    <w:rsid w:val="00A30C8F"/>
    <w:rsid w:val="00A3331E"/>
    <w:rsid w:val="00A40CD1"/>
    <w:rsid w:val="00A84C22"/>
    <w:rsid w:val="00A93E80"/>
    <w:rsid w:val="00AA640B"/>
    <w:rsid w:val="00AB5105"/>
    <w:rsid w:val="00AC03BD"/>
    <w:rsid w:val="00AC3305"/>
    <w:rsid w:val="00AD047B"/>
    <w:rsid w:val="00AD23A4"/>
    <w:rsid w:val="00AE22B1"/>
    <w:rsid w:val="00B00FC6"/>
    <w:rsid w:val="00B03188"/>
    <w:rsid w:val="00B04B03"/>
    <w:rsid w:val="00B04DF0"/>
    <w:rsid w:val="00B05BD5"/>
    <w:rsid w:val="00B222CF"/>
    <w:rsid w:val="00B22359"/>
    <w:rsid w:val="00B2716A"/>
    <w:rsid w:val="00B36101"/>
    <w:rsid w:val="00B37CC4"/>
    <w:rsid w:val="00B47468"/>
    <w:rsid w:val="00B50B4A"/>
    <w:rsid w:val="00B541E2"/>
    <w:rsid w:val="00B72DD3"/>
    <w:rsid w:val="00B8482C"/>
    <w:rsid w:val="00B87925"/>
    <w:rsid w:val="00BD2C9E"/>
    <w:rsid w:val="00BF089A"/>
    <w:rsid w:val="00BF6F5A"/>
    <w:rsid w:val="00C12EBC"/>
    <w:rsid w:val="00C1350F"/>
    <w:rsid w:val="00C23B1F"/>
    <w:rsid w:val="00C401D2"/>
    <w:rsid w:val="00C57E79"/>
    <w:rsid w:val="00C60C7F"/>
    <w:rsid w:val="00C61478"/>
    <w:rsid w:val="00C6591E"/>
    <w:rsid w:val="00C743B6"/>
    <w:rsid w:val="00C8310C"/>
    <w:rsid w:val="00C9234B"/>
    <w:rsid w:val="00CA147C"/>
    <w:rsid w:val="00CB388E"/>
    <w:rsid w:val="00CD1EF0"/>
    <w:rsid w:val="00CD4234"/>
    <w:rsid w:val="00CD729C"/>
    <w:rsid w:val="00D17A4E"/>
    <w:rsid w:val="00D24B57"/>
    <w:rsid w:val="00D43F7E"/>
    <w:rsid w:val="00D64EDF"/>
    <w:rsid w:val="00D7570F"/>
    <w:rsid w:val="00D7586B"/>
    <w:rsid w:val="00D84DA8"/>
    <w:rsid w:val="00D95E68"/>
    <w:rsid w:val="00DA5C60"/>
    <w:rsid w:val="00DB35CC"/>
    <w:rsid w:val="00DD193B"/>
    <w:rsid w:val="00DE142F"/>
    <w:rsid w:val="00DE54C9"/>
    <w:rsid w:val="00DE71E5"/>
    <w:rsid w:val="00E04FC1"/>
    <w:rsid w:val="00E05688"/>
    <w:rsid w:val="00E1391D"/>
    <w:rsid w:val="00E22300"/>
    <w:rsid w:val="00E368AC"/>
    <w:rsid w:val="00E44D2D"/>
    <w:rsid w:val="00E54404"/>
    <w:rsid w:val="00E8057E"/>
    <w:rsid w:val="00EB2715"/>
    <w:rsid w:val="00EB4643"/>
    <w:rsid w:val="00EF1C8E"/>
    <w:rsid w:val="00F0105B"/>
    <w:rsid w:val="00F01DEF"/>
    <w:rsid w:val="00F020EF"/>
    <w:rsid w:val="00F05F63"/>
    <w:rsid w:val="00F06104"/>
    <w:rsid w:val="00F11667"/>
    <w:rsid w:val="00F36EB9"/>
    <w:rsid w:val="00F466BD"/>
    <w:rsid w:val="00F57AB0"/>
    <w:rsid w:val="00F85CAF"/>
    <w:rsid w:val="00FA09EE"/>
    <w:rsid w:val="00FB3425"/>
    <w:rsid w:val="00FC126E"/>
    <w:rsid w:val="00FC27B7"/>
    <w:rsid w:val="00FE1641"/>
    <w:rsid w:val="00FF5B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fdb913,#005447"/>
      <o:colormenu v:ext="edit" fillcolor="#005447" strokecolor="none"/>
    </o:shapedefaults>
    <o:shapelayout v:ext="edit">
      <o:idmap v:ext="edit" data="1"/>
    </o:shapelayout>
  </w:shapeDefaults>
  <w:decimalSymbol w:val="."/>
  <w:listSeparator w:val=","/>
  <w14:docId w14:val="34510661"/>
  <w15:chartTrackingRefBased/>
  <w15:docId w15:val="{CC151401-1781-4069-88B0-AC1F3366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header" w:uiPriority="99"/>
    <w:lsdException w:name="caption" w:locked="1" w:semiHidden="1" w:unhideWhenUsed="1" w:qFormat="1"/>
    <w:lsdException w:name="envelope address" w:locked="1"/>
    <w:lsdException w:name="envelope return" w:locked="1"/>
    <w:lsdException w:name="footnote reference" w:uiPriority="99"/>
    <w:lsdException w:name="line number" w:locked="1"/>
    <w:lsdException w:name="macro"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next w:val="Normal"/>
    <w:qFormat/>
    <w:rsid w:val="00D7586B"/>
    <w:pPr>
      <w:keepNext/>
      <w:numPr>
        <w:numId w:val="37"/>
      </w:numPr>
      <w:spacing w:before="240" w:after="60"/>
      <w:outlineLvl w:val="0"/>
    </w:pPr>
    <w:rPr>
      <w:rFonts w:ascii="Arial Narrow" w:hAnsi="Arial Narrow"/>
      <w:b/>
      <w:kern w:val="28"/>
      <w:sz w:val="36"/>
      <w:lang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3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3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6"/>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pPr>
      <w:tabs>
        <w:tab w:val="center" w:pos="4320"/>
        <w:tab w:val="right" w:pos="8640"/>
      </w:tabs>
    </w:pPr>
  </w:style>
  <w:style w:type="paragraph" w:customStyle="1" w:styleId="Page">
    <w:name w:val="Page"/>
    <w:basedOn w:val="Normal"/>
    <w:rsid w:val="00231D6D"/>
  </w:style>
  <w:style w:type="character" w:styleId="PageNumber">
    <w:name w:val="page number"/>
    <w:basedOn w:val="DefaultParagraphFont"/>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24"/>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5"/>
      </w:numPr>
    </w:pPr>
  </w:style>
  <w:style w:type="paragraph" w:styleId="ListNumber2">
    <w:name w:val="List Number 2"/>
    <w:basedOn w:val="Normal"/>
    <w:rsid w:val="00C57E79"/>
    <w:pPr>
      <w:numPr>
        <w:numId w:val="36"/>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basedOn w:val="DefaultParagraphFont"/>
    <w:rsid w:val="00231D6D"/>
    <w:rPr>
      <w:b/>
    </w:rPr>
  </w:style>
  <w:style w:type="character" w:customStyle="1" w:styleId="Italic">
    <w:name w:val="Italic"/>
    <w:basedOn w:val="DefaultParagraphFont"/>
    <w:rsid w:val="00231D6D"/>
    <w:rPr>
      <w:i/>
    </w:rPr>
  </w:style>
  <w:style w:type="character" w:customStyle="1" w:styleId="BoldItalic">
    <w:name w:val="Bold Italic"/>
    <w:basedOn w:val="DefaultParagraphFont"/>
    <w:rsid w:val="00231D6D"/>
    <w:rPr>
      <w:b/>
      <w:i/>
    </w:rPr>
  </w:style>
  <w:style w:type="character" w:customStyle="1" w:styleId="superscript">
    <w:name w:val="superscript"/>
    <w:basedOn w:val="DefaultParagraphFont"/>
    <w:rsid w:val="004D1673"/>
    <w:rPr>
      <w:vertAlign w:val="superscript"/>
    </w:rPr>
  </w:style>
  <w:style w:type="character" w:customStyle="1" w:styleId="subscript">
    <w:name w:val="subscript"/>
    <w:basedOn w:val="superscript"/>
    <w:rsid w:val="004D1673"/>
    <w:rPr>
      <w:vertAlign w:val="subscript"/>
    </w:rPr>
  </w:style>
  <w:style w:type="character" w:styleId="FollowedHyperlink">
    <w:name w:val="FollowedHyperlink"/>
    <w:basedOn w:val="DefaultParagraphFont"/>
    <w:rsid w:val="007075EB"/>
    <w:rPr>
      <w:color w:val="800080"/>
      <w:u w:val="single"/>
    </w:rPr>
  </w:style>
  <w:style w:type="character" w:styleId="Hyperlink">
    <w:name w:val="Hyperlink"/>
    <w:basedOn w:val="DefaultParagraphFont"/>
    <w:uiPriority w:val="99"/>
    <w:rsid w:val="006C57DB"/>
    <w:rPr>
      <w:color w:val="0000FF"/>
      <w:u w:val="single"/>
    </w:rPr>
  </w:style>
  <w:style w:type="character" w:customStyle="1" w:styleId="Heading5Char">
    <w:name w:val="Heading 5 Char"/>
    <w:basedOn w:val="DefaultParagraphFont"/>
    <w:link w:val="Heading5"/>
    <w:semiHidden/>
    <w:rsid w:val="00D7586B"/>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D7586B"/>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D7586B"/>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D7586B"/>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D7586B"/>
    <w:rPr>
      <w:rFonts w:ascii="Cambria" w:eastAsia="Times New Roman" w:hAnsi="Cambria" w:cs="Times New Roman"/>
      <w:sz w:val="22"/>
      <w:szCs w:val="22"/>
      <w:lang w:eastAsia="en-US"/>
    </w:rPr>
  </w:style>
  <w:style w:type="paragraph" w:customStyle="1" w:styleId="FAPHeadingThree">
    <w:name w:val="FAP Heading Three"/>
    <w:basedOn w:val="ListParagraph"/>
    <w:uiPriority w:val="99"/>
    <w:rsid w:val="00A84C22"/>
    <w:pPr>
      <w:ind w:left="0"/>
      <w:jc w:val="both"/>
    </w:pPr>
    <w:rPr>
      <w:rFonts w:ascii="Arial" w:hAnsi="Arial" w:cs="Arial"/>
      <w:i/>
      <w:sz w:val="22"/>
      <w:szCs w:val="22"/>
      <w:u w:val="single"/>
    </w:rPr>
  </w:style>
  <w:style w:type="paragraph" w:styleId="ListParagraph">
    <w:name w:val="List Paragraph"/>
    <w:basedOn w:val="Normal"/>
    <w:link w:val="ListParagraphChar"/>
    <w:uiPriority w:val="34"/>
    <w:qFormat/>
    <w:rsid w:val="00A84C22"/>
    <w:pPr>
      <w:ind w:left="720"/>
      <w:contextualSpacing/>
    </w:pPr>
  </w:style>
  <w:style w:type="character" w:styleId="FootnoteReference">
    <w:name w:val="footnote reference"/>
    <w:basedOn w:val="DefaultParagraphFont"/>
    <w:uiPriority w:val="99"/>
    <w:rsid w:val="004412A2"/>
    <w:rPr>
      <w:rFonts w:cs="Times New Roman"/>
      <w:vertAlign w:val="superscript"/>
    </w:rPr>
  </w:style>
  <w:style w:type="character" w:customStyle="1" w:styleId="FootnoteTextChar">
    <w:name w:val="Footnote Text Char"/>
    <w:basedOn w:val="DefaultParagraphFont"/>
    <w:link w:val="FootnoteText"/>
    <w:uiPriority w:val="99"/>
    <w:rsid w:val="004412A2"/>
    <w:rPr>
      <w:sz w:val="16"/>
      <w:lang w:eastAsia="en-US"/>
    </w:rPr>
  </w:style>
  <w:style w:type="character" w:customStyle="1" w:styleId="ListParagraphChar">
    <w:name w:val="List Paragraph Char"/>
    <w:basedOn w:val="DefaultParagraphFont"/>
    <w:link w:val="ListParagraph"/>
    <w:uiPriority w:val="34"/>
    <w:locked/>
    <w:rsid w:val="00185CEB"/>
    <w:rPr>
      <w:sz w:val="24"/>
      <w:lang w:eastAsia="en-US"/>
    </w:rPr>
  </w:style>
  <w:style w:type="character" w:styleId="CommentReference">
    <w:name w:val="annotation reference"/>
    <w:basedOn w:val="DefaultParagraphFont"/>
    <w:rsid w:val="007C06D6"/>
    <w:rPr>
      <w:sz w:val="16"/>
      <w:szCs w:val="16"/>
    </w:rPr>
  </w:style>
  <w:style w:type="paragraph" w:styleId="CommentText">
    <w:name w:val="annotation text"/>
    <w:basedOn w:val="Normal"/>
    <w:link w:val="CommentTextChar"/>
    <w:rsid w:val="007C06D6"/>
    <w:rPr>
      <w:sz w:val="20"/>
    </w:rPr>
  </w:style>
  <w:style w:type="character" w:customStyle="1" w:styleId="CommentTextChar">
    <w:name w:val="Comment Text Char"/>
    <w:basedOn w:val="DefaultParagraphFont"/>
    <w:link w:val="CommentText"/>
    <w:rsid w:val="007C06D6"/>
    <w:rPr>
      <w:lang w:eastAsia="en-US"/>
    </w:rPr>
  </w:style>
  <w:style w:type="paragraph" w:styleId="CommentSubject">
    <w:name w:val="annotation subject"/>
    <w:basedOn w:val="CommentText"/>
    <w:next w:val="CommentText"/>
    <w:link w:val="CommentSubjectChar"/>
    <w:rsid w:val="007C06D6"/>
    <w:rPr>
      <w:b/>
      <w:bCs/>
    </w:rPr>
  </w:style>
  <w:style w:type="character" w:customStyle="1" w:styleId="CommentSubjectChar">
    <w:name w:val="Comment Subject Char"/>
    <w:basedOn w:val="CommentTextChar"/>
    <w:link w:val="CommentSubject"/>
    <w:rsid w:val="007C06D6"/>
    <w:rPr>
      <w:b/>
      <w:bCs/>
      <w:lang w:eastAsia="en-US"/>
    </w:rPr>
  </w:style>
  <w:style w:type="paragraph" w:styleId="BalloonText">
    <w:name w:val="Balloon Text"/>
    <w:basedOn w:val="Normal"/>
    <w:link w:val="BalloonTextChar"/>
    <w:locked/>
    <w:rsid w:val="007C06D6"/>
    <w:rPr>
      <w:rFonts w:ascii="Segoe UI" w:hAnsi="Segoe UI" w:cs="Segoe UI"/>
      <w:sz w:val="18"/>
      <w:szCs w:val="18"/>
    </w:rPr>
  </w:style>
  <w:style w:type="character" w:customStyle="1" w:styleId="BalloonTextChar">
    <w:name w:val="Balloon Text Char"/>
    <w:basedOn w:val="DefaultParagraphFont"/>
    <w:link w:val="BalloonText"/>
    <w:rsid w:val="007C06D6"/>
    <w:rPr>
      <w:rFonts w:ascii="Segoe UI" w:hAnsi="Segoe UI" w:cs="Segoe UI"/>
      <w:sz w:val="18"/>
      <w:szCs w:val="18"/>
      <w:lang w:eastAsia="en-US"/>
    </w:rPr>
  </w:style>
  <w:style w:type="character" w:customStyle="1" w:styleId="HeaderChar">
    <w:name w:val="Header Char"/>
    <w:basedOn w:val="DefaultParagraphFont"/>
    <w:link w:val="Header"/>
    <w:uiPriority w:val="99"/>
    <w:locked/>
    <w:rsid w:val="005D63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nd@mpi.govt.nz" TargetMode="External"/><Relationship Id="rId18" Type="http://schemas.openxmlformats.org/officeDocument/2006/relationships/footer" Target="footer4.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fish.govt.nz/NR/rdonlyres/6EC9A6A7-6FC4-4273-86B7-57A51CB55348/0/harveststrategyfinalpdf.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FMsubmissions@mpi.govt.nz"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news-resources/publications.aspx" TargetMode="External"/><Relationship Id="rId22" Type="http://schemas.openxmlformats.org/officeDocument/2006/relationships/footer" Target="footer7.xml"/><Relationship Id="rId27" Type="http://schemas.openxmlformats.org/officeDocument/2006/relationships/image" Target="media/image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sprfmo.int/assets/Meetings/Meetings-2013-plus/SC-Meetings/3rd-SC-Meeting-2015/Papers/SC-03-INF-01-Jack-mackerel-status-in-the-South-Eastern-Pacific-and-exploitation-management-strategi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lgfs1\common\DeepWater\01%20Fish%20Stock%20Management\13%20Jack%20Mackerel\JMA%20fish%20plan\Catch%20vs%20TACC%20graphs%20for%20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'JMA3'!$B$1</c:f>
              <c:strCache>
                <c:ptCount val="1"/>
                <c:pt idx="0">
                  <c:v>Catch </c:v>
                </c:pt>
              </c:strCache>
            </c:strRef>
          </c:tx>
          <c:spPr>
            <a:solidFill>
              <a:schemeClr val="accent6">
                <a:lumMod val="75000"/>
              </a:schemeClr>
            </a:solidFill>
            <a:ln>
              <a:solidFill>
                <a:schemeClr val="tx1"/>
              </a:solidFill>
            </a:ln>
          </c:spPr>
          <c:invertIfNegative val="0"/>
          <c:cat>
            <c:strRef>
              <c:f>'JMA3'!$A$2:$A$33</c:f>
              <c:strCache>
                <c:ptCount val="32"/>
                <c:pt idx="0">
                  <c:v>1983/84</c:v>
                </c:pt>
                <c:pt idx="1">
                  <c:v>1984/85</c:v>
                </c:pt>
                <c:pt idx="2">
                  <c:v>1985/86</c:v>
                </c:pt>
                <c:pt idx="3">
                  <c:v>1986/87</c:v>
                </c:pt>
                <c:pt idx="4">
                  <c:v>1987/88</c:v>
                </c:pt>
                <c:pt idx="5">
                  <c:v>1988/89</c:v>
                </c:pt>
                <c:pt idx="6">
                  <c:v>1989/90</c:v>
                </c:pt>
                <c:pt idx="7">
                  <c:v>1990/91</c:v>
                </c:pt>
                <c:pt idx="8">
                  <c:v>1991/92</c:v>
                </c:pt>
                <c:pt idx="9">
                  <c:v>1992/93</c:v>
                </c:pt>
                <c:pt idx="10">
                  <c:v>1993/94</c:v>
                </c:pt>
                <c:pt idx="11">
                  <c:v>1994/95</c:v>
                </c:pt>
                <c:pt idx="12">
                  <c:v>1995/96</c:v>
                </c:pt>
                <c:pt idx="13">
                  <c:v>1996/97</c:v>
                </c:pt>
                <c:pt idx="14">
                  <c:v>1997/98</c:v>
                </c:pt>
                <c:pt idx="15">
                  <c:v>1998/99</c:v>
                </c:pt>
                <c:pt idx="16">
                  <c:v>1999/00</c:v>
                </c:pt>
                <c:pt idx="17">
                  <c:v>2000/01</c:v>
                </c:pt>
                <c:pt idx="18">
                  <c:v>2001/02</c:v>
                </c:pt>
                <c:pt idx="19">
                  <c:v>2002/03</c:v>
                </c:pt>
                <c:pt idx="20">
                  <c:v>2003/04</c:v>
                </c:pt>
                <c:pt idx="21">
                  <c:v>2004/05</c:v>
                </c:pt>
                <c:pt idx="22">
                  <c:v>2005/06</c:v>
                </c:pt>
                <c:pt idx="23">
                  <c:v>2006/07</c:v>
                </c:pt>
                <c:pt idx="24">
                  <c:v>2007/08</c:v>
                </c:pt>
                <c:pt idx="25">
                  <c:v>2008/09</c:v>
                </c:pt>
                <c:pt idx="26">
                  <c:v>2009/10</c:v>
                </c:pt>
                <c:pt idx="27">
                  <c:v>2010/11</c:v>
                </c:pt>
                <c:pt idx="28">
                  <c:v>2011/12</c:v>
                </c:pt>
                <c:pt idx="29">
                  <c:v>2012/13</c:v>
                </c:pt>
                <c:pt idx="30">
                  <c:v>2013/14</c:v>
                </c:pt>
                <c:pt idx="31">
                  <c:v>2014/15</c:v>
                </c:pt>
              </c:strCache>
            </c:strRef>
          </c:cat>
          <c:val>
            <c:numRef>
              <c:f>'JMA3'!$B$2:$B$33</c:f>
              <c:numCache>
                <c:formatCode>_-* #,##0_-;\-* #,##0_-;_-* "-"??_-;_-@_-</c:formatCode>
                <c:ptCount val="32"/>
                <c:pt idx="0">
                  <c:v>715</c:v>
                </c:pt>
                <c:pt idx="1">
                  <c:v>1223</c:v>
                </c:pt>
                <c:pt idx="2">
                  <c:v>2228</c:v>
                </c:pt>
                <c:pt idx="3">
                  <c:v>1638</c:v>
                </c:pt>
                <c:pt idx="4">
                  <c:v>1883</c:v>
                </c:pt>
                <c:pt idx="5">
                  <c:v>1919</c:v>
                </c:pt>
                <c:pt idx="6">
                  <c:v>4013</c:v>
                </c:pt>
                <c:pt idx="7">
                  <c:v>6403</c:v>
                </c:pt>
                <c:pt idx="8">
                  <c:v>5779</c:v>
                </c:pt>
                <c:pt idx="9">
                  <c:v>15399</c:v>
                </c:pt>
                <c:pt idx="10">
                  <c:v>9115</c:v>
                </c:pt>
                <c:pt idx="11">
                  <c:v>11519</c:v>
                </c:pt>
                <c:pt idx="12">
                  <c:v>19803</c:v>
                </c:pt>
                <c:pt idx="13">
                  <c:v>15687</c:v>
                </c:pt>
                <c:pt idx="14">
                  <c:v>15452</c:v>
                </c:pt>
                <c:pt idx="15">
                  <c:v>15111</c:v>
                </c:pt>
                <c:pt idx="16">
                  <c:v>10306</c:v>
                </c:pt>
                <c:pt idx="17">
                  <c:v>2744</c:v>
                </c:pt>
                <c:pt idx="18">
                  <c:v>5000</c:v>
                </c:pt>
                <c:pt idx="19">
                  <c:v>2225</c:v>
                </c:pt>
                <c:pt idx="20">
                  <c:v>705</c:v>
                </c:pt>
                <c:pt idx="21">
                  <c:v>716</c:v>
                </c:pt>
                <c:pt idx="22">
                  <c:v>5000</c:v>
                </c:pt>
                <c:pt idx="23">
                  <c:v>1857</c:v>
                </c:pt>
                <c:pt idx="24">
                  <c:v>2629</c:v>
                </c:pt>
                <c:pt idx="25">
                  <c:v>1964</c:v>
                </c:pt>
                <c:pt idx="26">
                  <c:v>2703</c:v>
                </c:pt>
                <c:pt idx="27">
                  <c:v>3592</c:v>
                </c:pt>
                <c:pt idx="28">
                  <c:v>3085</c:v>
                </c:pt>
                <c:pt idx="29" formatCode="#,##0">
                  <c:v>3830</c:v>
                </c:pt>
                <c:pt idx="30" formatCode="#,##0">
                  <c:v>4693</c:v>
                </c:pt>
                <c:pt idx="31">
                  <c:v>4115</c:v>
                </c:pt>
              </c:numCache>
            </c:numRef>
          </c:val>
        </c:ser>
        <c:dLbls>
          <c:showLegendKey val="0"/>
          <c:showVal val="0"/>
          <c:showCatName val="0"/>
          <c:showSerName val="0"/>
          <c:showPercent val="0"/>
          <c:showBubbleSize val="0"/>
        </c:dLbls>
        <c:gapWidth val="50"/>
        <c:axId val="248803368"/>
        <c:axId val="248801800"/>
      </c:barChart>
      <c:lineChart>
        <c:grouping val="standard"/>
        <c:varyColors val="0"/>
        <c:ser>
          <c:idx val="1"/>
          <c:order val="1"/>
          <c:tx>
            <c:strRef>
              <c:f>'JMA3'!$C$1</c:f>
              <c:strCache>
                <c:ptCount val="1"/>
                <c:pt idx="0">
                  <c:v>TACC</c:v>
                </c:pt>
              </c:strCache>
            </c:strRef>
          </c:tx>
          <c:spPr>
            <a:ln w="25400">
              <a:solidFill>
                <a:schemeClr val="tx1"/>
              </a:solidFill>
            </a:ln>
          </c:spPr>
          <c:marker>
            <c:symbol val="diamond"/>
            <c:size val="5"/>
            <c:spPr>
              <a:solidFill>
                <a:schemeClr val="tx1"/>
              </a:solidFill>
              <a:ln>
                <a:solidFill>
                  <a:schemeClr val="tx1"/>
                </a:solidFill>
              </a:ln>
            </c:spPr>
          </c:marker>
          <c:cat>
            <c:strRef>
              <c:f>'JMA3'!$A$2:$A$33</c:f>
              <c:strCache>
                <c:ptCount val="32"/>
                <c:pt idx="0">
                  <c:v>1983/84</c:v>
                </c:pt>
                <c:pt idx="1">
                  <c:v>1984/85</c:v>
                </c:pt>
                <c:pt idx="2">
                  <c:v>1985/86</c:v>
                </c:pt>
                <c:pt idx="3">
                  <c:v>1986/87</c:v>
                </c:pt>
                <c:pt idx="4">
                  <c:v>1987/88</c:v>
                </c:pt>
                <c:pt idx="5">
                  <c:v>1988/89</c:v>
                </c:pt>
                <c:pt idx="6">
                  <c:v>1989/90</c:v>
                </c:pt>
                <c:pt idx="7">
                  <c:v>1990/91</c:v>
                </c:pt>
                <c:pt idx="8">
                  <c:v>1991/92</c:v>
                </c:pt>
                <c:pt idx="9">
                  <c:v>1992/93</c:v>
                </c:pt>
                <c:pt idx="10">
                  <c:v>1993/94</c:v>
                </c:pt>
                <c:pt idx="11">
                  <c:v>1994/95</c:v>
                </c:pt>
                <c:pt idx="12">
                  <c:v>1995/96</c:v>
                </c:pt>
                <c:pt idx="13">
                  <c:v>1996/97</c:v>
                </c:pt>
                <c:pt idx="14">
                  <c:v>1997/98</c:v>
                </c:pt>
                <c:pt idx="15">
                  <c:v>1998/99</c:v>
                </c:pt>
                <c:pt idx="16">
                  <c:v>1999/00</c:v>
                </c:pt>
                <c:pt idx="17">
                  <c:v>2000/01</c:v>
                </c:pt>
                <c:pt idx="18">
                  <c:v>2001/02</c:v>
                </c:pt>
                <c:pt idx="19">
                  <c:v>2002/03</c:v>
                </c:pt>
                <c:pt idx="20">
                  <c:v>2003/04</c:v>
                </c:pt>
                <c:pt idx="21">
                  <c:v>2004/05</c:v>
                </c:pt>
                <c:pt idx="22">
                  <c:v>2005/06</c:v>
                </c:pt>
                <c:pt idx="23">
                  <c:v>2006/07</c:v>
                </c:pt>
                <c:pt idx="24">
                  <c:v>2007/08</c:v>
                </c:pt>
                <c:pt idx="25">
                  <c:v>2008/09</c:v>
                </c:pt>
                <c:pt idx="26">
                  <c:v>2009/10</c:v>
                </c:pt>
                <c:pt idx="27">
                  <c:v>2010/11</c:v>
                </c:pt>
                <c:pt idx="28">
                  <c:v>2011/12</c:v>
                </c:pt>
                <c:pt idx="29">
                  <c:v>2012/13</c:v>
                </c:pt>
                <c:pt idx="30">
                  <c:v>2013/14</c:v>
                </c:pt>
                <c:pt idx="31">
                  <c:v>2014/15</c:v>
                </c:pt>
              </c:strCache>
            </c:strRef>
          </c:cat>
          <c:val>
            <c:numRef>
              <c:f>'JMA3'!$C$2:$C$33</c:f>
              <c:numCache>
                <c:formatCode>General</c:formatCode>
                <c:ptCount val="32"/>
                <c:pt idx="3" formatCode="#,##0">
                  <c:v>2200</c:v>
                </c:pt>
                <c:pt idx="4" formatCode="#,##0">
                  <c:v>2200</c:v>
                </c:pt>
                <c:pt idx="5" formatCode="#,##0">
                  <c:v>2700</c:v>
                </c:pt>
                <c:pt idx="6" formatCode="#,##0">
                  <c:v>2700</c:v>
                </c:pt>
                <c:pt idx="7" formatCode="#,##0">
                  <c:v>2700</c:v>
                </c:pt>
                <c:pt idx="8" formatCode="#,##0">
                  <c:v>2700</c:v>
                </c:pt>
                <c:pt idx="9" formatCode="#,##0">
                  <c:v>2700</c:v>
                </c:pt>
                <c:pt idx="10" formatCode="#,##0">
                  <c:v>9000</c:v>
                </c:pt>
                <c:pt idx="11" formatCode="#,##0">
                  <c:v>18000</c:v>
                </c:pt>
                <c:pt idx="12" formatCode="#,##0">
                  <c:v>18000</c:v>
                </c:pt>
                <c:pt idx="13" formatCode="#,##0">
                  <c:v>18000</c:v>
                </c:pt>
                <c:pt idx="14" formatCode="#,##0">
                  <c:v>18000</c:v>
                </c:pt>
                <c:pt idx="15" formatCode="#,##0">
                  <c:v>18000</c:v>
                </c:pt>
                <c:pt idx="16" formatCode="#,##0">
                  <c:v>18000</c:v>
                </c:pt>
                <c:pt idx="17" formatCode="#,##0">
                  <c:v>18000</c:v>
                </c:pt>
                <c:pt idx="18" formatCode="#,##0">
                  <c:v>18000</c:v>
                </c:pt>
                <c:pt idx="19" formatCode="#,##0">
                  <c:v>18000</c:v>
                </c:pt>
                <c:pt idx="20" formatCode="#,##0">
                  <c:v>18000</c:v>
                </c:pt>
                <c:pt idx="21" formatCode="#,##0">
                  <c:v>18000</c:v>
                </c:pt>
                <c:pt idx="22" formatCode="#,##0">
                  <c:v>18000</c:v>
                </c:pt>
                <c:pt idx="23" formatCode="#,##0">
                  <c:v>18000</c:v>
                </c:pt>
                <c:pt idx="24" formatCode="#,##0">
                  <c:v>18000</c:v>
                </c:pt>
                <c:pt idx="25" formatCode="#,##0">
                  <c:v>18000</c:v>
                </c:pt>
                <c:pt idx="26" formatCode="#,##0">
                  <c:v>18000</c:v>
                </c:pt>
                <c:pt idx="27" formatCode="#,##0">
                  <c:v>18000</c:v>
                </c:pt>
                <c:pt idx="28" formatCode="#,##0">
                  <c:v>18000</c:v>
                </c:pt>
                <c:pt idx="29" formatCode="#,##0">
                  <c:v>18000</c:v>
                </c:pt>
                <c:pt idx="30" formatCode="#,##0">
                  <c:v>18000</c:v>
                </c:pt>
                <c:pt idx="31" formatCode="#,##0">
                  <c:v>18000</c:v>
                </c:pt>
              </c:numCache>
            </c:numRef>
          </c:val>
          <c:smooth val="0"/>
        </c:ser>
        <c:dLbls>
          <c:showLegendKey val="0"/>
          <c:showVal val="0"/>
          <c:showCatName val="0"/>
          <c:showSerName val="0"/>
          <c:showPercent val="0"/>
          <c:showBubbleSize val="0"/>
        </c:dLbls>
        <c:marker val="1"/>
        <c:smooth val="0"/>
        <c:axId val="248803368"/>
        <c:axId val="248801800"/>
      </c:lineChart>
      <c:catAx>
        <c:axId val="248803368"/>
        <c:scaling>
          <c:orientation val="minMax"/>
        </c:scaling>
        <c:delete val="0"/>
        <c:axPos val="b"/>
        <c:numFmt formatCode="General" sourceLinked="0"/>
        <c:majorTickMark val="out"/>
        <c:minorTickMark val="none"/>
        <c:tickLblPos val="nextTo"/>
        <c:txPr>
          <a:bodyPr rot="-1800000"/>
          <a:lstStyle/>
          <a:p>
            <a:pPr>
              <a:defRPr sz="800" b="1">
                <a:latin typeface="Arial Narrow" panose="020B0606020202030204" pitchFamily="34" charset="0"/>
              </a:defRPr>
            </a:pPr>
            <a:endParaRPr lang="en-US"/>
          </a:p>
        </c:txPr>
        <c:crossAx val="248801800"/>
        <c:crosses val="autoZero"/>
        <c:auto val="1"/>
        <c:lblAlgn val="ctr"/>
        <c:lblOffset val="100"/>
        <c:tickLblSkip val="2"/>
        <c:noMultiLvlLbl val="0"/>
      </c:catAx>
      <c:valAx>
        <c:axId val="248801800"/>
        <c:scaling>
          <c:orientation val="minMax"/>
          <c:max val="20000"/>
        </c:scaling>
        <c:delete val="0"/>
        <c:axPos val="l"/>
        <c:title>
          <c:tx>
            <c:rich>
              <a:bodyPr rot="-5400000" vert="horz"/>
              <a:lstStyle/>
              <a:p>
                <a:pPr>
                  <a:defRPr sz="1400">
                    <a:latin typeface="Arial Narrow" panose="020B0606020202030204" pitchFamily="34" charset="0"/>
                  </a:defRPr>
                </a:pPr>
                <a:r>
                  <a:rPr lang="en-US" sz="1400">
                    <a:latin typeface="Arial Narrow" panose="020B0606020202030204" pitchFamily="34" charset="0"/>
                  </a:rPr>
                  <a:t>Catch (tonnes)</a:t>
                </a:r>
              </a:p>
            </c:rich>
          </c:tx>
          <c:layout>
            <c:manualLayout>
              <c:xMode val="edge"/>
              <c:yMode val="edge"/>
              <c:x val="1.3392857142857166E-2"/>
              <c:y val="0.34326775889264277"/>
            </c:manualLayout>
          </c:layout>
          <c:overlay val="0"/>
        </c:title>
        <c:numFmt formatCode="_-* #,##0_-;\-* #,##0_-;_-* &quot;-&quot;??_-;_-@_-" sourceLinked="1"/>
        <c:majorTickMark val="out"/>
        <c:minorTickMark val="none"/>
        <c:tickLblPos val="nextTo"/>
        <c:txPr>
          <a:bodyPr/>
          <a:lstStyle/>
          <a:p>
            <a:pPr>
              <a:defRPr sz="900" b="1">
                <a:latin typeface="Arial Narrow" panose="020B0606020202030204" pitchFamily="34" charset="0"/>
              </a:defRPr>
            </a:pPr>
            <a:endParaRPr lang="en-US"/>
          </a:p>
        </c:txPr>
        <c:crossAx val="248803368"/>
        <c:crosses val="autoZero"/>
        <c:crossBetween val="between"/>
      </c:valAx>
      <c:spPr>
        <a:noFill/>
        <a:ln w="25400">
          <a:noFill/>
        </a:ln>
      </c:spPr>
    </c:plotArea>
    <c:legend>
      <c:legendPos val="r"/>
      <c:legendEntry>
        <c:idx val="0"/>
        <c:txPr>
          <a:bodyPr/>
          <a:lstStyle/>
          <a:p>
            <a:pPr>
              <a:defRPr sz="1300" baseline="0">
                <a:latin typeface="Arial Narrow" panose="020B0606020202030204" pitchFamily="34" charset="0"/>
              </a:defRPr>
            </a:pPr>
            <a:endParaRPr lang="en-US"/>
          </a:p>
        </c:txPr>
      </c:legendEntry>
      <c:legendEntry>
        <c:idx val="1"/>
        <c:txPr>
          <a:bodyPr/>
          <a:lstStyle/>
          <a:p>
            <a:pPr>
              <a:defRPr sz="1300" baseline="0">
                <a:latin typeface="Arial Narrow" panose="020B0606020202030204" pitchFamily="34" charset="0"/>
              </a:defRPr>
            </a:pPr>
            <a:endParaRPr lang="en-US"/>
          </a:p>
        </c:txPr>
      </c:legendEntry>
      <c:layout/>
      <c:overlay val="1"/>
      <c:txPr>
        <a:bodyPr/>
        <a:lstStyle/>
        <a:p>
          <a:pPr>
            <a:defRPr>
              <a:latin typeface="Arial Narrow" panose="020B060602020203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1" ma:contentTypeDescription="Create a new Word Document" ma:contentTypeScope="" ma:versionID="8f844db2432491a1de4a6cef9f54cd54">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c681d0a642a7be118d9d9a502fbd364"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772aab91-6720-4ebc-8cf2-6f1a4b79c74a</TermId>
        </TermInfo>
      </Terms>
    </C3TopicNote>
    <TaxKeywordTaxHTField xmlns="53305d22-c52c-4ebf-80a3-731614f57ab7">
      <Terms xmlns="http://schemas.microsoft.com/office/infopath/2007/PartnerControls"/>
    </TaxKeywordTaxHTField>
    <MPIRegulatoryRoundType xmlns="53305d22-c52c-4ebf-80a3-731614f57ab7">Sustainability</MPIRegulatoryRoundTyp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7030</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1242-1433-45B7-911A-A494457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F0335-497C-4D07-AD44-1F53C9B545A0}">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53305d22-c52c-4ebf-80a3-731614f57ab7"/>
    <ds:schemaRef ds:uri="http://schemas.microsoft.com/office/infopath/2007/PartnerControls"/>
    <ds:schemaRef ds:uri="http://purl.org/dc/terms/"/>
    <ds:schemaRef ds:uri="http://schemas.microsoft.com/sharepoint/v4"/>
    <ds:schemaRef ds:uri="01be4277-2979-4a68-876d-b92b25fceece"/>
    <ds:schemaRef ds:uri="http://www.w3.org/XML/1998/namespace"/>
    <ds:schemaRef ds:uri="http://purl.org/dc/elements/1.1/"/>
  </ds:schemaRefs>
</ds:datastoreItem>
</file>

<file path=customXml/itemProps3.xml><?xml version="1.0" encoding="utf-8"?>
<ds:datastoreItem xmlns:ds="http://schemas.openxmlformats.org/officeDocument/2006/customXml" ds:itemID="{1AF26715-D138-4B0F-B78C-6A80859423CC}">
  <ds:schemaRefs>
    <ds:schemaRef ds:uri="http://schemas.microsoft.com/sharepoint/v3/contenttype/forms"/>
  </ds:schemaRefs>
</ds:datastoreItem>
</file>

<file path=customXml/itemProps4.xml><?xml version="1.0" encoding="utf-8"?>
<ds:datastoreItem xmlns:ds="http://schemas.openxmlformats.org/officeDocument/2006/customXml" ds:itemID="{49D2732E-4EAA-456F-B963-BFCEF314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Template.dot</Template>
  <TotalTime>0</TotalTime>
  <Pages>18</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Review of Management Controls for the Southern Jack Mackerel Fishery (JMA 3) in 2016</vt:lpstr>
    </vt:vector>
  </TitlesOfParts>
  <Company>Ministry of Agriculture and Forestry</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Management Controls for the Southern Jack Mackerel Fishery (JMA 3) in 2016</dc:title>
  <dc:subject/>
  <dc:creator>Authorised User</dc:creator>
  <cp:keywords/>
  <dc:description>2002</dc:description>
  <cp:lastModifiedBy>Sonja Hempel</cp:lastModifiedBy>
  <cp:revision>2</cp:revision>
  <cp:lastPrinted>2016-05-11T04:07:00Z</cp:lastPrinted>
  <dcterms:created xsi:type="dcterms:W3CDTF">2016-06-07T02:21:00Z</dcterms:created>
  <dcterms:modified xsi:type="dcterms:W3CDTF">2016-06-07T02:21:00Z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MPIFishingYear">
    <vt:lpwstr/>
  </property>
  <property fmtid="{D5CDD505-2E9C-101B-9397-08002B2CF9AE}" pid="4" name="TaxKeyword">
    <vt:lpwstr/>
  </property>
  <property fmtid="{D5CDD505-2E9C-101B-9397-08002B2CF9AE}" pid="5" name="g6f5970aaae1455591eba4514e9755ef">
    <vt:lpwstr/>
  </property>
  <property fmtid="{D5CDD505-2E9C-101B-9397-08002B2CF9AE}" pid="6" name="o4e75948e675413b9688ff9fe3f48c77">
    <vt:lpwstr/>
  </property>
  <property fmtid="{D5CDD505-2E9C-101B-9397-08002B2CF9AE}" pid="7" name="MPISecurityClassification">
    <vt:lpwstr>1;#None|cf402fa0-b6a8-49a7-a22e-a95b6152c608</vt:lpwstr>
  </property>
  <property fmtid="{D5CDD505-2E9C-101B-9397-08002B2CF9AE}" pid="8" name="MPIYear">
    <vt:lpwstr/>
  </property>
  <property fmtid="{D5CDD505-2E9C-101B-9397-08002B2CF9AE}" pid="9" name="PingarMPI_Terms">
    <vt:lpwstr/>
  </property>
  <property fmtid="{D5CDD505-2E9C-101B-9397-08002B2CF9AE}" pid="10" name="C3Topic">
    <vt:lpwstr>7030;#Consultation|772aab91-6720-4ebc-8cf2-6f1a4b79c74a</vt:lpwstr>
  </property>
  <property fmtid="{D5CDD505-2E9C-101B-9397-08002B2CF9AE}" pid="11" name="c386641a8d104d09aa789607b1976b5e">
    <vt:lpwstr/>
  </property>
  <property fmtid="{D5CDD505-2E9C-101B-9397-08002B2CF9AE}" pid="12" name="MPIMonth">
    <vt:lpwstr/>
  </property>
</Properties>
</file>